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1404D">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6964B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6964B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6964B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6964B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6964B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6964B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6964B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6964B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6964B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6964B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6964B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6964B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1404D">
        <w:rPr>
          <w:color w:val="000000"/>
          <w:sz w:val="24"/>
          <w:szCs w:val="24"/>
        </w:rPr>
        <w:t>Ц</w:t>
      </w:r>
      <w:r w:rsidR="006964B6">
        <w:rPr>
          <w:color w:val="000000"/>
          <w:sz w:val="24"/>
          <w:szCs w:val="24"/>
        </w:rPr>
        <w:t>105</w:t>
      </w:r>
      <w:r w:rsidR="002E5F61">
        <w:rPr>
          <w:color w:val="000000"/>
          <w:sz w:val="24"/>
          <w:szCs w:val="24"/>
        </w:rPr>
        <w:t xml:space="preserve"> </w:t>
      </w:r>
      <w:r w:rsidR="00F615D3" w:rsidRPr="001F2C0F">
        <w:rPr>
          <w:sz w:val="24"/>
          <w:szCs w:val="24"/>
        </w:rPr>
        <w:t xml:space="preserve">от </w:t>
      </w:r>
      <w:r w:rsidR="0081404D">
        <w:rPr>
          <w:sz w:val="24"/>
          <w:szCs w:val="24"/>
        </w:rPr>
        <w:t>12</w:t>
      </w:r>
      <w:r w:rsidR="00B130B0">
        <w:rPr>
          <w:sz w:val="24"/>
          <w:szCs w:val="24"/>
        </w:rPr>
        <w:t>.</w:t>
      </w:r>
      <w:r w:rsidR="0081404D">
        <w:rPr>
          <w:sz w:val="24"/>
          <w:szCs w:val="24"/>
        </w:rPr>
        <w:t>09</w:t>
      </w:r>
      <w:r w:rsidR="00F615D3" w:rsidRPr="001F2C0F">
        <w:rPr>
          <w:sz w:val="24"/>
          <w:szCs w:val="24"/>
        </w:rPr>
        <w:t>.201</w:t>
      </w:r>
      <w:r w:rsidR="0081404D">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6964B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6964B6">
              <w:rPr>
                <w:bCs/>
                <w:sz w:val="24"/>
                <w:szCs w:val="24"/>
              </w:rPr>
              <w:t>запасных частей ТДМ</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6964B6">
              <w:rPr>
                <w:b/>
                <w:sz w:val="24"/>
                <w:szCs w:val="24"/>
                <w:lang w:eastAsia="en-US"/>
              </w:rPr>
              <w:t>1</w:t>
            </w:r>
            <w:r w:rsidRPr="00713B23">
              <w:rPr>
                <w:b/>
                <w:sz w:val="24"/>
                <w:szCs w:val="24"/>
                <w:lang w:eastAsia="en-US"/>
              </w:rPr>
              <w:t xml:space="preserve">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6964B6">
              <w:rPr>
                <w:b/>
                <w:sz w:val="24"/>
                <w:szCs w:val="24"/>
                <w:lang w:eastAsia="en-US"/>
              </w:rPr>
              <w:t>2</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6964B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6964B6">
              <w:rPr>
                <w:b/>
                <w:sz w:val="24"/>
                <w:szCs w:val="24"/>
                <w:lang w:eastAsia="en-US"/>
              </w:rPr>
              <w:t>3</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Borders>
              <w:bottom w:val="single" w:sz="4" w:space="0" w:color="auto"/>
            </w:tcBorders>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5D4070">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Borders>
              <w:bottom w:val="single" w:sz="4" w:space="0" w:color="auto"/>
            </w:tcBorders>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Pr="004747FE" w:rsidRDefault="002E5F61" w:rsidP="006964B6">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81404D">
              <w:rPr>
                <w:sz w:val="24"/>
                <w:szCs w:val="24"/>
                <w:lang w:eastAsia="en-US"/>
              </w:rPr>
              <w:t>12</w:t>
            </w:r>
            <w:r w:rsidRPr="004747FE">
              <w:rPr>
                <w:sz w:val="24"/>
                <w:szCs w:val="24"/>
                <w:lang w:eastAsia="en-US"/>
              </w:rPr>
              <w:t>.</w:t>
            </w:r>
            <w:r w:rsidR="0081404D">
              <w:rPr>
                <w:sz w:val="24"/>
                <w:szCs w:val="24"/>
                <w:lang w:eastAsia="en-US"/>
              </w:rPr>
              <w:t>09</w:t>
            </w:r>
            <w:r w:rsidRPr="004747FE">
              <w:rPr>
                <w:sz w:val="24"/>
                <w:szCs w:val="24"/>
                <w:lang w:eastAsia="en-US"/>
              </w:rPr>
              <w:t>.201</w:t>
            </w:r>
            <w:r w:rsidR="0081404D">
              <w:rPr>
                <w:sz w:val="24"/>
                <w:szCs w:val="24"/>
                <w:lang w:eastAsia="en-US"/>
              </w:rPr>
              <w:t>9</w:t>
            </w:r>
            <w:r w:rsidRPr="004747FE">
              <w:rPr>
                <w:sz w:val="24"/>
                <w:szCs w:val="24"/>
                <w:lang w:eastAsia="en-US"/>
              </w:rPr>
              <w:t xml:space="preserve"> г.</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Borders>
              <w:top w:val="single" w:sz="4" w:space="0" w:color="auto"/>
              <w:left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6964B6">
              <w:rPr>
                <w:sz w:val="24"/>
                <w:szCs w:val="24"/>
                <w:lang w:eastAsia="en-US"/>
              </w:rPr>
              <w:t>2</w:t>
            </w:r>
            <w:r w:rsidRPr="004747FE">
              <w:rPr>
                <w:sz w:val="24"/>
                <w:szCs w:val="24"/>
                <w:lang w:eastAsia="en-US"/>
              </w:rPr>
              <w:t xml:space="preserve">:00 (МСК) </w:t>
            </w:r>
            <w:proofErr w:type="gramStart"/>
            <w:r w:rsidR="00A95AA6">
              <w:rPr>
                <w:sz w:val="24"/>
                <w:szCs w:val="24"/>
                <w:lang w:eastAsia="en-US"/>
              </w:rPr>
              <w:t>0</w:t>
            </w:r>
            <w:r w:rsidR="006964B6">
              <w:rPr>
                <w:sz w:val="24"/>
                <w:szCs w:val="24"/>
                <w:lang w:eastAsia="en-US"/>
              </w:rPr>
              <w:t>8</w:t>
            </w:r>
            <w:r w:rsidRPr="004747FE">
              <w:rPr>
                <w:sz w:val="24"/>
                <w:szCs w:val="24"/>
                <w:lang w:eastAsia="en-US"/>
              </w:rPr>
              <w:t>.</w:t>
            </w:r>
            <w:r w:rsidR="0081404D">
              <w:rPr>
                <w:sz w:val="24"/>
                <w:szCs w:val="24"/>
                <w:lang w:eastAsia="en-US"/>
              </w:rPr>
              <w:t>10</w:t>
            </w:r>
            <w:r w:rsidRPr="004747FE">
              <w:rPr>
                <w:sz w:val="24"/>
                <w:szCs w:val="24"/>
                <w:lang w:eastAsia="en-US"/>
              </w:rPr>
              <w:t>.201</w:t>
            </w:r>
            <w:r w:rsidR="0081404D">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81404D" w:rsidRPr="005D4070">
              <w:rPr>
                <w:sz w:val="24"/>
                <w:szCs w:val="24"/>
                <w:u w:val="single"/>
                <w:lang w:eastAsia="en-US"/>
              </w:rPr>
              <w:t>на бумажном носителе</w:t>
            </w:r>
          </w:p>
          <w:p w:rsidR="005D4070" w:rsidRDefault="002E5F61" w:rsidP="002E5F61">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lastRenderedPageBreak/>
              <w:t>Место/адрес приема предложений:</w:t>
            </w:r>
            <w:r w:rsidRPr="004747FE">
              <w:rPr>
                <w:b/>
                <w:sz w:val="24"/>
                <w:szCs w:val="24"/>
              </w:rPr>
              <w:t xml:space="preserve"> </w:t>
            </w:r>
          </w:p>
          <w:p w:rsidR="002E5F61" w:rsidRPr="004747FE" w:rsidRDefault="005D4070"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tcBorders>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Borders>
              <w:top w:val="single" w:sz="4" w:space="0" w:color="auto"/>
            </w:tcBorders>
          </w:tcPr>
          <w:p w:rsidR="002E5F61" w:rsidRPr="004747FE" w:rsidRDefault="002E5F61" w:rsidP="002E5F61">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6964B6">
              <w:rPr>
                <w:b/>
                <w:color w:val="000000"/>
                <w:sz w:val="24"/>
                <w:szCs w:val="24"/>
                <w:u w:val="single"/>
              </w:rPr>
              <w:t>2</w:t>
            </w:r>
            <w:r w:rsidRPr="0086710C">
              <w:rPr>
                <w:b/>
                <w:color w:val="000000"/>
                <w:sz w:val="24"/>
                <w:szCs w:val="24"/>
                <w:u w:val="single"/>
              </w:rPr>
              <w:t>:</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6964B6">
              <w:rPr>
                <w:b/>
                <w:bCs/>
                <w:sz w:val="24"/>
                <w:szCs w:val="24"/>
                <w:u w:val="single"/>
              </w:rPr>
              <w:t>3</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6964B6"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2E5F61" w:rsidRPr="004747FE">
              <w:rPr>
                <w:sz w:val="24"/>
                <w:szCs w:val="24"/>
              </w:rPr>
              <w:t xml:space="preserve"> (</w:t>
            </w:r>
            <w:r>
              <w:rPr>
                <w:sz w:val="24"/>
                <w:szCs w:val="24"/>
              </w:rPr>
              <w:t>три</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5D4070" w:rsidRPr="005D4070" w:rsidRDefault="005D4070" w:rsidP="005D4070">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5D4070"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2E5F61"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w:t>
            </w:r>
            <w:r w:rsidR="005D4070">
              <w:rPr>
                <w:b/>
                <w:sz w:val="24"/>
                <w:szCs w:val="24"/>
              </w:rPr>
              <w:t>5</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5D4070">
            <w:pPr>
              <w:spacing w:line="276" w:lineRule="auto"/>
              <w:ind w:left="568" w:hanging="568"/>
              <w:jc w:val="left"/>
              <w:rPr>
                <w:b/>
                <w:sz w:val="24"/>
                <w:szCs w:val="24"/>
              </w:rPr>
            </w:pPr>
            <w:r w:rsidRPr="004747FE">
              <w:rPr>
                <w:b/>
                <w:sz w:val="24"/>
                <w:szCs w:val="24"/>
              </w:rPr>
              <w:t>1</w:t>
            </w:r>
            <w:r w:rsidR="005D4070">
              <w:rPr>
                <w:b/>
                <w:sz w:val="24"/>
                <w:szCs w:val="24"/>
              </w:rPr>
              <w:t>6</w:t>
            </w:r>
            <w:r w:rsidRPr="004747FE">
              <w:rPr>
                <w:b/>
                <w:sz w:val="24"/>
                <w:szCs w:val="24"/>
              </w:rPr>
              <w:t>.</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Pr="004747FE" w:rsidRDefault="002E5F61" w:rsidP="006964B6">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4747FE">
                <w:rPr>
                  <w:rStyle w:val="af2"/>
                  <w:i/>
                  <w:sz w:val="24"/>
                  <w:szCs w:val="24"/>
                </w:rPr>
                <w:t>http://www.eon-russia.ru/files/117/</w:t>
              </w:r>
            </w:hyperlink>
            <w:r w:rsidRPr="004747FE">
              <w:rPr>
                <w:i/>
                <w:sz w:val="24"/>
                <w:szCs w:val="24"/>
              </w:rPr>
              <w:t xml:space="preserve">. </w:t>
            </w:r>
          </w:p>
        </w:tc>
      </w:tr>
      <w:tr w:rsidR="002E5F61" w:rsidRPr="004747FE" w:rsidTr="00C832FC">
        <w:trPr>
          <w:trHeight w:val="391"/>
        </w:trPr>
        <w:tc>
          <w:tcPr>
            <w:tcW w:w="498" w:type="dxa"/>
          </w:tcPr>
          <w:p w:rsidR="002E5F61" w:rsidRPr="004747FE" w:rsidRDefault="005D4070" w:rsidP="002E5F61">
            <w:pPr>
              <w:spacing w:line="276" w:lineRule="auto"/>
              <w:ind w:left="568" w:hanging="568"/>
              <w:jc w:val="left"/>
              <w:rPr>
                <w:b/>
                <w:sz w:val="24"/>
                <w:szCs w:val="24"/>
              </w:rPr>
            </w:pPr>
            <w:r>
              <w:rPr>
                <w:b/>
                <w:sz w:val="24"/>
                <w:szCs w:val="24"/>
              </w:rPr>
              <w:t>17</w:t>
            </w:r>
            <w:r w:rsidR="002E5F61" w:rsidRPr="004747FE">
              <w:rPr>
                <w:b/>
                <w:sz w:val="24"/>
                <w:szCs w:val="24"/>
              </w:rPr>
              <w:t>.</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1"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2" w:history="1">
              <w:r>
                <w:t xml:space="preserve"> </w:t>
              </w:r>
              <w:r w:rsidRPr="000E294C">
                <w:rPr>
                  <w:rStyle w:val="af2"/>
                  <w:i/>
                  <w:sz w:val="24"/>
                  <w:szCs w:val="24"/>
                  <w:lang w:eastAsia="en-US"/>
                </w:rPr>
                <w:t>http://www.unipro.energy/purchase/accreditation/</w:t>
              </w:r>
              <w:proofErr w:type="gramEnd"/>
            </w:hyperlink>
          </w:p>
        </w:tc>
      </w:tr>
    </w:tbl>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717991" w:rsidRPr="00717991" w:rsidRDefault="00005B73" w:rsidP="00F3026D">
      <w:pPr>
        <w:pStyle w:val="a4"/>
        <w:numPr>
          <w:ilvl w:val="0"/>
          <w:numId w:val="0"/>
        </w:numPr>
        <w:spacing w:line="240" w:lineRule="auto"/>
        <w:rPr>
          <w:b/>
          <w:sz w:val="24"/>
          <w:szCs w:val="24"/>
        </w:rPr>
      </w:pPr>
      <w:bookmarkStart w:id="4" w:name="_GoBack"/>
      <w:bookmarkEnd w:id="4"/>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gramStart"/>
      <w:r>
        <w:rPr>
          <w:b/>
          <w:sz w:val="24"/>
          <w:szCs w:val="24"/>
        </w:rPr>
        <w:t xml:space="preserve">Юнипро»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5D4070">
        <w:rPr>
          <w:b/>
          <w:sz w:val="24"/>
          <w:szCs w:val="24"/>
        </w:rPr>
        <w:t>Е.А. Дубцова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3"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4D" w:rsidRDefault="0081404D">
      <w:r>
        <w:separator/>
      </w:r>
    </w:p>
  </w:endnote>
  <w:endnote w:type="continuationSeparator" w:id="0">
    <w:p w:rsidR="0081404D" w:rsidRDefault="0081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1404D" w:rsidRDefault="0081404D">
        <w:pPr>
          <w:pStyle w:val="af0"/>
          <w:jc w:val="right"/>
        </w:pPr>
        <w:r>
          <w:fldChar w:fldCharType="begin"/>
        </w:r>
        <w:r>
          <w:instrText xml:space="preserve"> PAGE   \* MERGEFORMAT </w:instrText>
        </w:r>
        <w:r>
          <w:fldChar w:fldCharType="separate"/>
        </w:r>
        <w:r w:rsidR="006964B6">
          <w:rPr>
            <w:noProof/>
          </w:rPr>
          <w:t>3</w:t>
        </w:r>
        <w:r>
          <w:rPr>
            <w:noProof/>
          </w:rPr>
          <w:fldChar w:fldCharType="end"/>
        </w:r>
      </w:p>
    </w:sdtContent>
  </w:sdt>
  <w:p w:rsidR="0081404D" w:rsidRDefault="0081404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4D" w:rsidRDefault="0081404D">
      <w:r>
        <w:separator/>
      </w:r>
    </w:p>
  </w:footnote>
  <w:footnote w:type="continuationSeparator" w:id="0">
    <w:p w:rsidR="0081404D" w:rsidRDefault="00814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4D" w:rsidRPr="00F01080" w:rsidRDefault="0081404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30"/>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070"/>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4B6"/>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04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ort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34133-DEFF-40A6-AD96-54E79D25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3576</Words>
  <Characters>27565</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5</cp:revision>
  <cp:lastPrinted>2017-10-31T13:36:00Z</cp:lastPrinted>
  <dcterms:created xsi:type="dcterms:W3CDTF">2018-11-23T13:16:00Z</dcterms:created>
  <dcterms:modified xsi:type="dcterms:W3CDTF">2019-09-12T13:24:00Z</dcterms:modified>
</cp:coreProperties>
</file>