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A51">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A6A51">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F35BE5">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F35BE5">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F35BE5">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F35BE5">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F35BE5">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F35BE5">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F35BE5">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F35BE5">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F35BE5">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F35BE5">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AC1C08" w:rsidRPr="00AC1C08">
        <w:rPr>
          <w:color w:val="000000"/>
          <w:sz w:val="24"/>
          <w:szCs w:val="24"/>
        </w:rPr>
        <w:t>0П60133 - 1</w:t>
      </w:r>
      <w:r w:rsidR="007B05AF">
        <w:rPr>
          <w:color w:val="000000"/>
          <w:sz w:val="24"/>
          <w:szCs w:val="24"/>
        </w:rPr>
        <w:t xml:space="preserve"> </w:t>
      </w:r>
      <w:r w:rsidR="008A2685" w:rsidRPr="0044096E">
        <w:rPr>
          <w:sz w:val="24"/>
          <w:szCs w:val="24"/>
        </w:rPr>
        <w:t xml:space="preserve">от </w:t>
      </w:r>
      <w:r w:rsidR="00AC1C08">
        <w:rPr>
          <w:sz w:val="24"/>
          <w:szCs w:val="24"/>
        </w:rPr>
        <w:t>1</w:t>
      </w:r>
      <w:r w:rsidR="00AF50BD" w:rsidRPr="00AF50BD">
        <w:rPr>
          <w:sz w:val="24"/>
          <w:szCs w:val="24"/>
        </w:rPr>
        <w:t>0</w:t>
      </w:r>
      <w:r w:rsidR="008A2685" w:rsidRPr="002324A9">
        <w:rPr>
          <w:sz w:val="24"/>
          <w:szCs w:val="24"/>
        </w:rPr>
        <w:t>.0</w:t>
      </w:r>
      <w:r w:rsidR="00064E27" w:rsidRPr="002324A9">
        <w:rPr>
          <w:sz w:val="24"/>
          <w:szCs w:val="24"/>
        </w:rPr>
        <w:t>9</w:t>
      </w:r>
      <w:r w:rsidR="00290D38" w:rsidRPr="002324A9">
        <w:rPr>
          <w:sz w:val="24"/>
          <w:szCs w:val="24"/>
        </w:rPr>
        <w:t>.201</w:t>
      </w:r>
      <w:r w:rsidR="007B05AF" w:rsidRPr="002324A9">
        <w:rPr>
          <w:sz w:val="24"/>
          <w:szCs w:val="24"/>
        </w:rPr>
        <w:t>9</w:t>
      </w:r>
      <w:r w:rsidR="00F615D3" w:rsidRPr="00064E27">
        <w:rPr>
          <w:sz w:val="24"/>
          <w:szCs w:val="24"/>
        </w:rPr>
        <w:t xml:space="preserve"> г</w:t>
      </w:r>
      <w:r w:rsidR="00F615D3" w:rsidRPr="00DD5C90">
        <w:rPr>
          <w:sz w:val="24"/>
          <w:szCs w:val="24"/>
        </w:rPr>
        <w:t>.</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7B05AF">
        <w:rPr>
          <w:rStyle w:val="af2"/>
          <w:sz w:val="22"/>
          <w:szCs w:val="22"/>
        </w:rPr>
        <w:t>http://www.unipro.energy/purchase/documents/</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AC1C08" w:rsidP="00CA21F3">
            <w:pPr>
              <w:autoSpaceDE w:val="0"/>
              <w:autoSpaceDN w:val="0"/>
              <w:adjustRightInd w:val="0"/>
              <w:spacing w:line="276" w:lineRule="auto"/>
              <w:ind w:right="-72" w:firstLine="0"/>
              <w:jc w:val="left"/>
              <w:rPr>
                <w:bCs/>
                <w:sz w:val="24"/>
                <w:szCs w:val="24"/>
              </w:rPr>
            </w:pPr>
            <w:r w:rsidRPr="00AC1C08">
              <w:rPr>
                <w:bCs/>
                <w:sz w:val="24"/>
                <w:szCs w:val="24"/>
              </w:rPr>
              <w:t>Запчасти насосов Goulds</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B05AF" w:rsidRDefault="00BC5425" w:rsidP="00F3026D">
            <w:pPr>
              <w:tabs>
                <w:tab w:val="left" w:pos="386"/>
              </w:tabs>
              <w:spacing w:line="276" w:lineRule="auto"/>
              <w:ind w:firstLine="0"/>
              <w:jc w:val="left"/>
              <w:rPr>
                <w:bCs/>
                <w:sz w:val="24"/>
                <w:szCs w:val="24"/>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p>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w:t>
            </w:r>
            <w:r w:rsidR="007B05AF">
              <w:rPr>
                <w:rStyle w:val="af2"/>
                <w:sz w:val="22"/>
                <w:szCs w:val="22"/>
                <w:lang w:eastAsia="en-US"/>
              </w:rPr>
              <w:t>http://www.unipro.energy/purchase/announcement/</w:t>
            </w:r>
            <w:r w:rsidRPr="00F3026D">
              <w:rPr>
                <w:sz w:val="24"/>
                <w:szCs w:val="24"/>
                <w:lang w:eastAsia="en-US"/>
              </w:rPr>
              <w:t>)</w:t>
            </w:r>
          </w:p>
          <w:p w:rsidR="00BC5425" w:rsidRPr="00F3026D" w:rsidRDefault="00BC5425" w:rsidP="00AC1C08">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064E27">
              <w:rPr>
                <w:sz w:val="24"/>
                <w:szCs w:val="24"/>
                <w:lang w:eastAsia="en-US"/>
              </w:rPr>
              <w:t>:</w:t>
            </w:r>
            <w:r w:rsidR="00D92B0A" w:rsidRPr="00064E27">
              <w:rPr>
                <w:sz w:val="24"/>
                <w:szCs w:val="24"/>
                <w:lang w:eastAsia="en-US"/>
              </w:rPr>
              <w:t xml:space="preserve"> </w:t>
            </w:r>
            <w:r w:rsidR="00AC1C08">
              <w:rPr>
                <w:sz w:val="24"/>
                <w:szCs w:val="24"/>
                <w:lang w:eastAsia="en-US"/>
              </w:rPr>
              <w:t>1</w:t>
            </w:r>
            <w:r w:rsidR="002324A9" w:rsidRPr="002324A9">
              <w:rPr>
                <w:sz w:val="24"/>
                <w:szCs w:val="24"/>
                <w:lang w:eastAsia="en-US"/>
              </w:rPr>
              <w:t>0</w:t>
            </w:r>
            <w:r w:rsidRPr="002324A9">
              <w:rPr>
                <w:sz w:val="24"/>
                <w:szCs w:val="24"/>
                <w:lang w:eastAsia="en-US"/>
              </w:rPr>
              <w:t>.</w:t>
            </w:r>
            <w:r w:rsidR="00BB57F6" w:rsidRPr="002324A9">
              <w:rPr>
                <w:sz w:val="24"/>
                <w:szCs w:val="24"/>
                <w:lang w:val="en-US" w:eastAsia="en-US"/>
              </w:rPr>
              <w:t>0</w:t>
            </w:r>
            <w:r w:rsidR="00064E27" w:rsidRPr="002324A9">
              <w:rPr>
                <w:sz w:val="24"/>
                <w:szCs w:val="24"/>
                <w:lang w:val="en-US" w:eastAsia="en-US"/>
              </w:rPr>
              <w:t>9</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D92B0A" w:rsidRPr="002324A9">
              <w:rPr>
                <w:sz w:val="24"/>
                <w:szCs w:val="24"/>
                <w:lang w:eastAsia="en-US"/>
              </w:rPr>
              <w:t xml:space="preserve"> </w:t>
            </w:r>
            <w:r w:rsidRPr="002324A9">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064E27">
              <w:rPr>
                <w:sz w:val="24"/>
                <w:szCs w:val="24"/>
                <w:lang w:eastAsia="en-US"/>
              </w:rPr>
              <w:t>МСК</w:t>
            </w:r>
            <w:r w:rsidRPr="00064E27">
              <w:rPr>
                <w:sz w:val="24"/>
                <w:szCs w:val="24"/>
                <w:lang w:eastAsia="en-US"/>
              </w:rPr>
              <w:t xml:space="preserve">) </w:t>
            </w:r>
            <w:r w:rsidR="008A0760">
              <w:rPr>
                <w:sz w:val="24"/>
                <w:szCs w:val="24"/>
                <w:lang w:eastAsia="en-US"/>
              </w:rPr>
              <w:t>2</w:t>
            </w:r>
            <w:r w:rsidR="00AC1C08">
              <w:rPr>
                <w:sz w:val="24"/>
                <w:szCs w:val="24"/>
                <w:lang w:eastAsia="en-US"/>
              </w:rPr>
              <w:t>4</w:t>
            </w:r>
            <w:r w:rsidRPr="002324A9">
              <w:rPr>
                <w:sz w:val="24"/>
                <w:szCs w:val="24"/>
                <w:lang w:eastAsia="en-US"/>
              </w:rPr>
              <w:t>.</w:t>
            </w:r>
            <w:r w:rsidR="00BB57F6" w:rsidRPr="002324A9">
              <w:rPr>
                <w:sz w:val="24"/>
                <w:szCs w:val="24"/>
                <w:lang w:eastAsia="en-US"/>
              </w:rPr>
              <w:t>0</w:t>
            </w:r>
            <w:r w:rsidR="00064E27" w:rsidRPr="002324A9">
              <w:rPr>
                <w:sz w:val="24"/>
                <w:szCs w:val="24"/>
                <w:lang w:eastAsia="en-US"/>
              </w:rPr>
              <w:t>9</w:t>
            </w:r>
            <w:r w:rsidR="000D23C6" w:rsidRPr="002324A9">
              <w:rPr>
                <w:sz w:val="24"/>
                <w:szCs w:val="24"/>
                <w:lang w:eastAsia="en-US"/>
              </w:rPr>
              <w:t>.</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0D23C6" w:rsidRPr="00064E27">
              <w:rPr>
                <w:sz w:val="24"/>
                <w:szCs w:val="24"/>
                <w:lang w:eastAsia="en-US"/>
              </w:rPr>
              <w:t xml:space="preserve"> </w:t>
            </w:r>
            <w:r w:rsidRPr="00064E2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w:t>
            </w:r>
            <w:bookmarkStart w:id="2" w:name="_GoBack"/>
            <w:bookmarkEnd w:id="2"/>
            <w:r w:rsidRPr="00F3026D">
              <w:rPr>
                <w:i/>
                <w:sz w:val="24"/>
                <w:szCs w:val="24"/>
              </w:rPr>
              <w:t>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DE0D6D">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w:t>
            </w:r>
            <w:r w:rsidR="00DE0D6D">
              <w:rPr>
                <w:sz w:val="24"/>
                <w:szCs w:val="24"/>
                <w:lang w:eastAsia="en-US"/>
              </w:rPr>
              <w:t>2</w:t>
            </w:r>
            <w:r w:rsidRPr="00944417">
              <w:rPr>
                <w:sz w:val="24"/>
                <w:szCs w:val="24"/>
                <w:lang w:eastAsia="en-US"/>
              </w:rPr>
              <w:t>0.</w:t>
            </w:r>
            <w:r w:rsidR="00DE0D6D">
              <w:rPr>
                <w:sz w:val="24"/>
                <w:szCs w:val="24"/>
                <w:lang w:eastAsia="en-US"/>
              </w:rPr>
              <w:t>0</w:t>
            </w:r>
            <w:r w:rsidR="000A7AAA">
              <w:rPr>
                <w:sz w:val="24"/>
                <w:szCs w:val="24"/>
                <w:lang w:eastAsia="en-US"/>
              </w:rPr>
              <w:t>1</w:t>
            </w:r>
            <w:r w:rsidRPr="00944417">
              <w:rPr>
                <w:sz w:val="24"/>
                <w:szCs w:val="24"/>
                <w:lang w:eastAsia="en-US"/>
              </w:rPr>
              <w:t>.20</w:t>
            </w:r>
            <w:r w:rsidR="00DE0D6D">
              <w:rPr>
                <w:sz w:val="24"/>
                <w:szCs w:val="24"/>
                <w:lang w:eastAsia="en-US"/>
              </w:rPr>
              <w:t>20</w:t>
            </w:r>
            <w:r w:rsidRPr="00944417">
              <w:rPr>
                <w:sz w:val="24"/>
                <w:szCs w:val="24"/>
                <w:lang w:eastAsia="en-US"/>
              </w:rPr>
              <w:t xml:space="preserve"> </w:t>
            </w:r>
            <w:r>
              <w:rPr>
                <w:sz w:val="24"/>
                <w:szCs w:val="24"/>
                <w:lang w:eastAsia="en-US"/>
              </w:rPr>
              <w:t>г. д</w:t>
            </w:r>
            <w:r w:rsidR="00BB57F6" w:rsidRPr="00851EC6">
              <w:rPr>
                <w:sz w:val="24"/>
                <w:szCs w:val="24"/>
                <w:lang w:eastAsia="en-US"/>
              </w:rPr>
              <w:t xml:space="preserve">о </w:t>
            </w:r>
            <w:r w:rsidR="00DE0D6D">
              <w:rPr>
                <w:sz w:val="24"/>
                <w:szCs w:val="24"/>
                <w:lang w:eastAsia="en-US"/>
              </w:rPr>
              <w:t>2</w:t>
            </w:r>
            <w:r w:rsidR="00BB57F6" w:rsidRPr="00851EC6">
              <w:rPr>
                <w:sz w:val="24"/>
                <w:szCs w:val="24"/>
                <w:lang w:eastAsia="en-US"/>
              </w:rPr>
              <w:t>0.0</w:t>
            </w:r>
            <w:r w:rsidR="00DE0D6D">
              <w:rPr>
                <w:sz w:val="24"/>
                <w:szCs w:val="24"/>
                <w:lang w:eastAsia="en-US"/>
              </w:rPr>
              <w:t>2</w:t>
            </w:r>
            <w:r w:rsidR="00BB57F6" w:rsidRPr="00851EC6">
              <w:rPr>
                <w:sz w:val="24"/>
                <w:szCs w:val="24"/>
                <w:lang w:eastAsia="en-US"/>
              </w:rPr>
              <w:t>.</w:t>
            </w:r>
            <w:r w:rsidR="003A4EA8" w:rsidRPr="00851EC6">
              <w:rPr>
                <w:sz w:val="24"/>
                <w:szCs w:val="24"/>
                <w:lang w:eastAsia="en-US"/>
              </w:rPr>
              <w:t>20</w:t>
            </w:r>
            <w:r w:rsidR="000A7AAA">
              <w:rPr>
                <w:sz w:val="24"/>
                <w:szCs w:val="24"/>
                <w:lang w:eastAsia="en-US"/>
              </w:rPr>
              <w:t>20</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7B05AF">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7B05AF">
                <w:rPr>
                  <w:rStyle w:val="af2"/>
                  <w:sz w:val="22"/>
                  <w:szCs w:val="22"/>
                  <w:lang w:eastAsia="en-US"/>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7B05AF">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7B05AF">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BE5" w:rsidRDefault="00F35BE5">
      <w:r>
        <w:separator/>
      </w:r>
    </w:p>
  </w:endnote>
  <w:endnote w:type="continuationSeparator" w:id="0">
    <w:p w:rsidR="00F35BE5" w:rsidRDefault="00F3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DE0D6D">
          <w:rPr>
            <w:noProof/>
          </w:rPr>
          <w:t>6</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BE5" w:rsidRDefault="00F35BE5">
      <w:r>
        <w:separator/>
      </w:r>
    </w:p>
  </w:footnote>
  <w:footnote w:type="continuationSeparator" w:id="0">
    <w:p w:rsidR="00F35BE5" w:rsidRDefault="00F35B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0A5"/>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0B3"/>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A7AAA"/>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9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4A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1D2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A741D"/>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177EF"/>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0D54"/>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A51"/>
    <w:rsid w:val="006B14A1"/>
    <w:rsid w:val="006B1BAE"/>
    <w:rsid w:val="006B2152"/>
    <w:rsid w:val="006B2272"/>
    <w:rsid w:val="006B399E"/>
    <w:rsid w:val="006B7774"/>
    <w:rsid w:val="006C022F"/>
    <w:rsid w:val="006C07F3"/>
    <w:rsid w:val="006C1298"/>
    <w:rsid w:val="006C1421"/>
    <w:rsid w:val="006C18BE"/>
    <w:rsid w:val="006C245D"/>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417"/>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5AF"/>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33B"/>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760"/>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4F0E"/>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1BA1"/>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12E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1C08"/>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0BD"/>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272"/>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F8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D9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818"/>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C90"/>
    <w:rsid w:val="00D95312"/>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0D6D"/>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2820"/>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5BE5"/>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2AE"/>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8E5"/>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A57ED"/>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90D4DC-B079-4E62-A092-2BEB90F01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1410</TotalTime>
  <Pages>27</Pages>
  <Words>4634</Words>
  <Characters>26415</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30988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719</cp:revision>
  <cp:lastPrinted>2015-09-16T10:58:00Z</cp:lastPrinted>
  <dcterms:created xsi:type="dcterms:W3CDTF">2015-08-20T06:40:00Z</dcterms:created>
  <dcterms:modified xsi:type="dcterms:W3CDTF">2019-09-10T05:14:00Z</dcterms:modified>
</cp:coreProperties>
</file>