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AB" w:rsidRPr="004044AB" w:rsidRDefault="004044AB" w:rsidP="004044A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044AB">
        <w:rPr>
          <w:rFonts w:ascii="Arial" w:eastAsia="Times New Roman" w:hAnsi="Arial" w:cs="Arial"/>
          <w:sz w:val="20"/>
          <w:szCs w:val="20"/>
          <w:lang w:eastAsia="ru-RU"/>
        </w:rPr>
        <w:t>Приложение № 1</w:t>
      </w:r>
    </w:p>
    <w:p w:rsidR="004044AB" w:rsidRPr="004044AB" w:rsidRDefault="004044AB" w:rsidP="004044A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044AB">
        <w:rPr>
          <w:rFonts w:ascii="Arial" w:eastAsia="Times New Roman" w:hAnsi="Arial" w:cs="Arial"/>
          <w:sz w:val="20"/>
          <w:szCs w:val="20"/>
          <w:lang w:eastAsia="ru-RU"/>
        </w:rPr>
        <w:t xml:space="preserve">к техническому заданию к договору № _____________ </w:t>
      </w:r>
    </w:p>
    <w:p w:rsidR="004044AB" w:rsidRPr="004044AB" w:rsidRDefault="004044AB" w:rsidP="004044A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4044AB">
        <w:rPr>
          <w:rFonts w:ascii="Arial" w:eastAsia="Times New Roman" w:hAnsi="Arial" w:cs="Arial"/>
          <w:sz w:val="20"/>
          <w:szCs w:val="20"/>
          <w:lang w:eastAsia="ru-RU"/>
        </w:rPr>
        <w:t>от «__</w:t>
      </w:r>
      <w:proofErr w:type="gramStart"/>
      <w:r w:rsidRPr="004044AB">
        <w:rPr>
          <w:rFonts w:ascii="Arial" w:eastAsia="Times New Roman" w:hAnsi="Arial" w:cs="Arial"/>
          <w:sz w:val="20"/>
          <w:szCs w:val="20"/>
          <w:lang w:eastAsia="ru-RU"/>
        </w:rPr>
        <w:t>_»_</w:t>
      </w:r>
      <w:proofErr w:type="gramEnd"/>
      <w:r w:rsidRPr="004044AB">
        <w:rPr>
          <w:rFonts w:ascii="Arial" w:eastAsia="Times New Roman" w:hAnsi="Arial" w:cs="Arial"/>
          <w:sz w:val="20"/>
          <w:szCs w:val="20"/>
          <w:lang w:eastAsia="ru-RU"/>
        </w:rPr>
        <w:t>_____________ 2019 г</w:t>
      </w:r>
    </w:p>
    <w:p w:rsidR="004044AB" w:rsidRPr="004044AB" w:rsidRDefault="004044AB" w:rsidP="004044AB">
      <w:pPr>
        <w:tabs>
          <w:tab w:val="left" w:leader="underscore" w:pos="5962"/>
          <w:tab w:val="left" w:leader="underscore" w:pos="7719"/>
          <w:tab w:val="left" w:leader="underscore" w:pos="8259"/>
        </w:tabs>
        <w:spacing w:after="0" w:line="240" w:lineRule="auto"/>
        <w:jc w:val="right"/>
        <w:rPr>
          <w:rFonts w:ascii="Arial" w:eastAsia="Verdana" w:hAnsi="Arial" w:cs="Arial"/>
          <w:spacing w:val="-10"/>
          <w:sz w:val="20"/>
          <w:szCs w:val="20"/>
        </w:rPr>
      </w:pPr>
      <w:r w:rsidRPr="004044AB">
        <w:rPr>
          <w:rFonts w:ascii="Arial" w:eastAsia="Verdana" w:hAnsi="Arial" w:cs="Arial"/>
          <w:spacing w:val="-10"/>
          <w:sz w:val="20"/>
          <w:szCs w:val="20"/>
        </w:rPr>
        <w:t xml:space="preserve"> </w:t>
      </w:r>
    </w:p>
    <w:p w:rsidR="004044AB" w:rsidRPr="004044AB" w:rsidRDefault="004044AB" w:rsidP="004044AB">
      <w:pPr>
        <w:spacing w:after="0" w:line="260" w:lineRule="exact"/>
        <w:jc w:val="center"/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  <w:t>ТРЕБОВАНИЯ ПО ОХРАНЕ ТРУДА</w:t>
      </w:r>
    </w:p>
    <w:p w:rsidR="004044AB" w:rsidRPr="004044AB" w:rsidRDefault="004044AB" w:rsidP="004044AB">
      <w:pPr>
        <w:numPr>
          <w:ilvl w:val="1"/>
          <w:numId w:val="1"/>
        </w:numPr>
        <w:spacing w:before="120" w:after="0" w:line="260" w:lineRule="exact"/>
        <w:ind w:firstLine="21"/>
        <w:contextualSpacing/>
        <w:jc w:val="both"/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  <w:t>Требования к Исполнителю</w:t>
      </w:r>
    </w:p>
    <w:p w:rsidR="004044AB" w:rsidRPr="004044AB" w:rsidRDefault="004044AB" w:rsidP="004044AB">
      <w:pPr>
        <w:numPr>
          <w:ilvl w:val="1"/>
          <w:numId w:val="2"/>
        </w:numPr>
        <w:spacing w:before="120" w:after="0" w:line="260" w:lineRule="exact"/>
        <w:contextualSpacing/>
        <w:jc w:val="both"/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  <w:t>Обязательные требования:</w:t>
      </w:r>
    </w:p>
    <w:p w:rsidR="004044AB" w:rsidRPr="004044AB" w:rsidRDefault="004044AB" w:rsidP="004044AB">
      <w:pPr>
        <w:numPr>
          <w:ilvl w:val="2"/>
          <w:numId w:val="1"/>
        </w:numPr>
        <w:tabs>
          <w:tab w:val="left" w:pos="1134"/>
        </w:tabs>
        <w:spacing w:after="0" w:line="260" w:lineRule="exact"/>
        <w:ind w:firstLine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Наличие у Исполнителя услуг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4044AB" w:rsidRPr="004044AB" w:rsidRDefault="004044AB" w:rsidP="004044AB">
      <w:pPr>
        <w:numPr>
          <w:ilvl w:val="3"/>
          <w:numId w:val="1"/>
        </w:numPr>
        <w:tabs>
          <w:tab w:val="left" w:pos="404"/>
          <w:tab w:val="left" w:pos="1134"/>
        </w:tabs>
        <w:spacing w:after="0" w:line="240" w:lineRule="auto"/>
        <w:ind w:firstLine="99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Работ на высоте (согласно требований действующих Правил по охране труда при работе на высоте, утвержденные приказом Минтруда и социальной защиты РФ от 28.03.2014 № 155н) </w:t>
      </w:r>
      <w:r w:rsidRPr="004044AB">
        <w:rPr>
          <w:rFonts w:ascii="Arial" w:eastAsia="Times New Roman" w:hAnsi="Arial" w:cs="Arial"/>
          <w:snapToGrid w:val="0"/>
          <w:sz w:val="20"/>
          <w:szCs w:val="20"/>
          <w:lang w:eastAsia="ru-RU"/>
        </w:rPr>
        <w:t>(предоставить копии подтверждающих документов в составе закупочной документации)</w:t>
      </w: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;</w:t>
      </w:r>
    </w:p>
    <w:p w:rsidR="004044AB" w:rsidRPr="004044AB" w:rsidRDefault="004044AB" w:rsidP="004044AB">
      <w:pPr>
        <w:numPr>
          <w:ilvl w:val="3"/>
          <w:numId w:val="1"/>
        </w:numPr>
        <w:tabs>
          <w:tab w:val="left" w:pos="404"/>
          <w:tab w:val="left" w:pos="1134"/>
        </w:tabs>
        <w:spacing w:after="0" w:line="240" w:lineRule="auto"/>
        <w:ind w:firstLine="99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Работ 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 </w:t>
      </w:r>
      <w:r w:rsidRPr="004044AB">
        <w:rPr>
          <w:rFonts w:ascii="Arial" w:eastAsia="Times New Roman" w:hAnsi="Arial" w:cs="Arial"/>
          <w:snapToGrid w:val="0"/>
          <w:sz w:val="20"/>
          <w:szCs w:val="20"/>
          <w:lang w:eastAsia="ru-RU"/>
        </w:rPr>
        <w:t>(предоставить копии подтверждающих документов в составе закупочной документации)</w:t>
      </w: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;</w:t>
      </w:r>
    </w:p>
    <w:p w:rsidR="004044AB" w:rsidRPr="004044AB" w:rsidRDefault="004044AB" w:rsidP="004044AB">
      <w:pPr>
        <w:numPr>
          <w:ilvl w:val="3"/>
          <w:numId w:val="1"/>
        </w:numPr>
        <w:tabs>
          <w:tab w:val="left" w:pos="404"/>
          <w:tab w:val="left" w:pos="1134"/>
        </w:tabs>
        <w:spacing w:after="0" w:line="240" w:lineRule="auto"/>
        <w:ind w:firstLine="99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Работ в ограниченном и замкнутом пространстве (право проведения специальных работ, должно подтверждаться записью в удостоверении о проверке знаний правил работы в электроустановках согласно требованию п.2.6. Приказа Минтруда России от 24.07.2013 N 328н, "Об утверждении Правил по охране труда при эксплуатации электроустановок", Приказ Минтруда России от 23.06.2016 N 310н "Об утверждении Правил по охране труда при размещении, монтаже, техническом обслуживании и ремонте технологического оборудования" </w:t>
      </w:r>
      <w:r w:rsidRPr="004044AB">
        <w:rPr>
          <w:rFonts w:ascii="Arial" w:eastAsia="Times New Roman" w:hAnsi="Arial" w:cs="Arial"/>
          <w:snapToGrid w:val="0"/>
          <w:sz w:val="20"/>
          <w:szCs w:val="20"/>
          <w:lang w:eastAsia="ru-RU"/>
        </w:rPr>
        <w:t>(предоставить копии подтверждающих документов в составе закупочной документации)</w:t>
      </w: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.</w:t>
      </w:r>
    </w:p>
    <w:p w:rsidR="004044AB" w:rsidRPr="004044AB" w:rsidRDefault="004044AB" w:rsidP="004044AB">
      <w:pPr>
        <w:numPr>
          <w:ilvl w:val="3"/>
          <w:numId w:val="1"/>
        </w:numPr>
        <w:tabs>
          <w:tab w:val="left" w:pos="404"/>
          <w:tab w:val="left" w:pos="1134"/>
        </w:tabs>
        <w:spacing w:after="0" w:line="240" w:lineRule="auto"/>
        <w:ind w:firstLine="99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Персонал Исполнителя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Ростехнадзор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 </w:t>
      </w:r>
      <w:r w:rsidRPr="004044AB">
        <w:rPr>
          <w:rFonts w:ascii="Arial" w:eastAsia="Times New Roman" w:hAnsi="Arial" w:cs="Arial"/>
          <w:snapToGrid w:val="0"/>
          <w:sz w:val="20"/>
          <w:szCs w:val="20"/>
          <w:lang w:eastAsia="ru-RU"/>
        </w:rPr>
        <w:t xml:space="preserve">(предоставить копии подтверждающих документов в составе закупочной документации). </w:t>
      </w:r>
    </w:p>
    <w:p w:rsidR="004044AB" w:rsidRPr="004044AB" w:rsidRDefault="004044AB" w:rsidP="004044AB">
      <w:pPr>
        <w:numPr>
          <w:ilvl w:val="2"/>
          <w:numId w:val="1"/>
        </w:numPr>
        <w:tabs>
          <w:tab w:val="left" w:pos="404"/>
          <w:tab w:val="left" w:pos="1134"/>
        </w:tabs>
        <w:spacing w:after="0" w:line="260" w:lineRule="exact"/>
        <w:ind w:firstLine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Наличие у Исполнителя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• «Руководство по системе»; 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• «Управление документацией»;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• «Идентификация опасностей, оценки рисков и определения мер управления»;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• «Управление записями»;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• «Внутренний аудит»;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• «Несоответствия. Корректирующие и предупреждающие действия»;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• «Порядок отчетности об инцидентах и их расследование»;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• «Отчетность по системе»;</w:t>
      </w:r>
    </w:p>
    <w:p w:rsidR="004044AB" w:rsidRPr="004044AB" w:rsidRDefault="004044AB" w:rsidP="004044AB">
      <w:pPr>
        <w:tabs>
          <w:tab w:val="left" w:pos="404"/>
          <w:tab w:val="left" w:pos="1134"/>
        </w:tabs>
        <w:spacing w:after="0" w:line="260" w:lineRule="exact"/>
        <w:ind w:left="720"/>
        <w:contextualSpacing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• «Анализ со стороны руководства».</w:t>
      </w:r>
    </w:p>
    <w:p w:rsidR="004044AB" w:rsidRPr="004044AB" w:rsidRDefault="004044AB" w:rsidP="004044AB">
      <w:pPr>
        <w:numPr>
          <w:ilvl w:val="2"/>
          <w:numId w:val="1"/>
        </w:numPr>
        <w:autoSpaceDE w:val="0"/>
        <w:autoSpaceDN w:val="0"/>
        <w:adjustRightInd w:val="0"/>
        <w:spacing w:before="120" w:after="0" w:line="260" w:lineRule="exact"/>
        <w:ind w:firstLine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Наличие у Исполнителя </w:t>
      </w:r>
      <w:proofErr w:type="gram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постоянно-действующей</w:t>
      </w:r>
      <w:proofErr w:type="gram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микропредприятия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4044AB" w:rsidRPr="004044AB" w:rsidRDefault="004044AB" w:rsidP="004044AB">
      <w:pPr>
        <w:numPr>
          <w:ilvl w:val="2"/>
          <w:numId w:val="1"/>
        </w:numPr>
        <w:autoSpaceDE w:val="0"/>
        <w:autoSpaceDN w:val="0"/>
        <w:adjustRightInd w:val="0"/>
        <w:spacing w:before="120" w:after="0" w:line="260" w:lineRule="exact"/>
        <w:ind w:firstLine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Наличие у Исполнителя специалиста по охране труда, имеющего профильное образование (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техносферная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техносферной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безопасности (подтверждено дипломом). Для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микропредприятия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:rsidR="004044AB" w:rsidRPr="004044AB" w:rsidRDefault="004044AB" w:rsidP="004044AB">
      <w:pPr>
        <w:numPr>
          <w:ilvl w:val="2"/>
          <w:numId w:val="1"/>
        </w:numPr>
        <w:autoSpaceDE w:val="0"/>
        <w:autoSpaceDN w:val="0"/>
        <w:adjustRightInd w:val="0"/>
        <w:spacing w:before="120" w:after="0" w:line="260" w:lineRule="exact"/>
        <w:ind w:firstLine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lastRenderedPageBreak/>
        <w:t>Наличие у Исполнителя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:rsidR="004044AB" w:rsidRPr="004044AB" w:rsidRDefault="004044AB" w:rsidP="004044A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:rsidR="004044AB" w:rsidRPr="004044AB" w:rsidRDefault="004044AB" w:rsidP="004044A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Специальной одежды 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 с логотипом компании в зависимости от сезона выполнения работ лето или зима;</w:t>
      </w:r>
    </w:p>
    <w:p w:rsidR="004044AB" w:rsidRPr="004044AB" w:rsidRDefault="004044AB" w:rsidP="004044A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Специальной одежды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 с логотипом компании в зависимости от сезона выполнения работ лето или зима;</w:t>
      </w:r>
    </w:p>
    <w:p w:rsidR="004044AB" w:rsidRPr="004044AB" w:rsidRDefault="004044AB" w:rsidP="004044A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:rsidR="004044AB" w:rsidRPr="004044AB" w:rsidRDefault="004044AB" w:rsidP="004044A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Защитная каска с подбородным ремнем;</w:t>
      </w:r>
    </w:p>
    <w:p w:rsidR="004044AB" w:rsidRPr="004044AB" w:rsidRDefault="004044AB" w:rsidP="004044A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Защитные очки;</w:t>
      </w:r>
    </w:p>
    <w:p w:rsidR="004044AB" w:rsidRPr="004044AB" w:rsidRDefault="004044AB" w:rsidP="004044A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Наушники.</w:t>
      </w:r>
    </w:p>
    <w:p w:rsidR="004044AB" w:rsidRPr="004044AB" w:rsidRDefault="004044AB" w:rsidP="004044AB">
      <w:pPr>
        <w:numPr>
          <w:ilvl w:val="2"/>
          <w:numId w:val="1"/>
        </w:numPr>
        <w:autoSpaceDE w:val="0"/>
        <w:autoSpaceDN w:val="0"/>
        <w:adjustRightInd w:val="0"/>
        <w:spacing w:before="120" w:after="0" w:line="260" w:lineRule="exact"/>
        <w:ind w:firstLine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В случае привлечения субподрядных организаций, Исполнитель обязан предоставить документы привлекаемых субподрядных организаций в части работ, поручаемых данным субподрядчикам.</w:t>
      </w:r>
    </w:p>
    <w:p w:rsidR="004044AB" w:rsidRPr="004044AB" w:rsidRDefault="004044AB" w:rsidP="004044AB">
      <w:pPr>
        <w:numPr>
          <w:ilvl w:val="2"/>
          <w:numId w:val="1"/>
        </w:numPr>
        <w:autoSpaceDE w:val="0"/>
        <w:autoSpaceDN w:val="0"/>
        <w:adjustRightInd w:val="0"/>
        <w:spacing w:before="120" w:after="0" w:line="260" w:lineRule="exact"/>
        <w:ind w:firstLine="426"/>
        <w:contextualSpacing/>
        <w:jc w:val="both"/>
        <w:rPr>
          <w:rFonts w:ascii="Arial" w:eastAsia="Verdana" w:hAnsi="Arial" w:cs="Arial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Информацию за подписью руководителя организации, подтверждающего наличие в необходимом количестве обученного и аттестованного персонала для </w:t>
      </w:r>
      <w:r w:rsidRPr="004044AB">
        <w:rPr>
          <w:rFonts w:ascii="Arial" w:eastAsia="Verdana" w:hAnsi="Arial" w:cs="Arial"/>
          <w:spacing w:val="-10"/>
          <w:sz w:val="20"/>
          <w:szCs w:val="20"/>
          <w:lang w:eastAsia="ru-RU"/>
        </w:rPr>
        <w:t>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Исполнителем по форме Приложения № 5 к настоящему ТЗ.</w:t>
      </w:r>
    </w:p>
    <w:p w:rsidR="004044AB" w:rsidRPr="004044AB" w:rsidRDefault="004044AB" w:rsidP="004044AB">
      <w:pPr>
        <w:numPr>
          <w:ilvl w:val="1"/>
          <w:numId w:val="2"/>
        </w:numPr>
        <w:spacing w:before="120" w:after="0" w:line="260" w:lineRule="exact"/>
        <w:contextualSpacing/>
        <w:jc w:val="both"/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  <w:t xml:space="preserve"> Желательные требования:</w:t>
      </w:r>
    </w:p>
    <w:p w:rsidR="004044AB" w:rsidRPr="004044AB" w:rsidRDefault="004044AB" w:rsidP="004044AB">
      <w:pPr>
        <w:numPr>
          <w:ilvl w:val="2"/>
          <w:numId w:val="2"/>
        </w:numPr>
        <w:autoSpaceDE w:val="0"/>
        <w:autoSpaceDN w:val="0"/>
        <w:adjustRightInd w:val="0"/>
        <w:spacing w:before="120" w:after="0" w:line="260" w:lineRule="exact"/>
        <w:ind w:firstLine="709"/>
        <w:contextualSpacing/>
        <w:jc w:val="both"/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Желательно наличие у Исполнителя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Ростехрегулирования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4044AB" w:rsidRPr="004044AB" w:rsidRDefault="004044AB" w:rsidP="004044AB">
      <w:pPr>
        <w:numPr>
          <w:ilvl w:val="2"/>
          <w:numId w:val="2"/>
        </w:numPr>
        <w:autoSpaceDE w:val="0"/>
        <w:autoSpaceDN w:val="0"/>
        <w:adjustRightInd w:val="0"/>
        <w:spacing w:before="120" w:after="0" w:line="260" w:lineRule="exact"/>
        <w:ind w:firstLine="709"/>
        <w:contextualSpacing/>
        <w:jc w:val="both"/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Желательно отсутствие у Исполнителя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Микропредприятия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4044AB" w:rsidRPr="004044AB" w:rsidRDefault="004044AB" w:rsidP="004044AB">
      <w:pPr>
        <w:autoSpaceDE w:val="0"/>
        <w:autoSpaceDN w:val="0"/>
        <w:adjustRightInd w:val="0"/>
        <w:spacing w:before="120" w:after="0" w:line="260" w:lineRule="exact"/>
        <w:ind w:left="709"/>
        <w:contextualSpacing/>
        <w:jc w:val="both"/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</w:pPr>
    </w:p>
    <w:p w:rsidR="004044AB" w:rsidRPr="004044AB" w:rsidRDefault="004044AB" w:rsidP="004044AB">
      <w:pPr>
        <w:numPr>
          <w:ilvl w:val="1"/>
          <w:numId w:val="1"/>
        </w:numPr>
        <w:spacing w:before="120" w:after="0" w:line="260" w:lineRule="exact"/>
        <w:ind w:firstLine="21"/>
        <w:contextualSpacing/>
        <w:jc w:val="both"/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b/>
          <w:color w:val="000000"/>
          <w:spacing w:val="-10"/>
          <w:sz w:val="20"/>
          <w:szCs w:val="20"/>
          <w:lang w:eastAsia="ru-RU"/>
        </w:rPr>
        <w:t xml:space="preserve">Требования к выполнению работ </w:t>
      </w:r>
    </w:p>
    <w:p w:rsidR="004044AB" w:rsidRPr="004044AB" w:rsidRDefault="004044AB" w:rsidP="004044AB">
      <w:pPr>
        <w:numPr>
          <w:ilvl w:val="1"/>
          <w:numId w:val="4"/>
        </w:numPr>
        <w:tabs>
          <w:tab w:val="left" w:pos="993"/>
        </w:tabs>
        <w:spacing w:before="120" w:after="0" w:line="260" w:lineRule="exact"/>
        <w:ind w:firstLine="405"/>
        <w:contextualSpacing/>
        <w:jc w:val="both"/>
        <w:outlineLvl w:val="0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Исполнитель обязан при выполнении работ руководствоваться, соблюдать и исполнять требования следующих нормативно-технических документов: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Ростехнадзора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от 12.11.2013 № 533;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Правила по охране труда при работе на высоте, утвержденные Приказом Минтруда России от 28.03.2014 № 155н;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Приказ Минтруда России от 23.06.2016 N 310н "Об утверждении Правил по охране труда при размещении, монтаже, техническом обслуживании и ремонте технологического оборудования";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lastRenderedPageBreak/>
        <w:t>Правила технической эксплуатации электрических станций и сетей Российской Федерации, утвержденные Приказом Минэнерго РФ от 19.06.2003 № 229;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Правила организации технического обслуживания и ремонта объектов электроэнергетики», утверждены Приказом Минэнерго России № 1013 от 25.10.2017г;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Ростехнадзора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от 25.03.2014 № 116;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Ростехнадзора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от 14.03.2014 № 102; 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284"/>
        </w:tabs>
        <w:spacing w:after="0" w:line="260" w:lineRule="exact"/>
        <w:ind w:left="426" w:hanging="426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404"/>
        </w:tabs>
        <w:spacing w:after="0" w:line="260" w:lineRule="exact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«Правила по охране труда в строительстве», утвержденные приказом Министерства труда и социальной защиты Российской Федерации от 01.06.2015 № 336н;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404"/>
        </w:tabs>
        <w:spacing w:after="0" w:line="260" w:lineRule="exact"/>
        <w:contextualSpacing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Действующие директивные материалы, обязательные для энергетики, а также Стандарты и Инструкции, действующие у Заказчика, в том числе: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  <w:tab w:val="left" w:pos="1418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Юнипро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» (СТО №ОТиБП-С.20);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Стандарт «Общественная безопасность» (СТО №№ОТиБП-С.15);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Технический регламент «О применении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безасбестовых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уплотнительных материалов»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Инструкция «О мерах пожарной безопасности на Филиале «Березовская ГРЭС» ПАО «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Юнипро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» (ИПБ-ОНПиЭБ-01), утверждённой 24.08.2017г.;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Инструкция «О порядке подготовки и организации проведения пожароопасных работ в цехах, помещениях и на территории филиала «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Берёзовская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ГРЭС» ПАО «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Юнипро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» (ИПБ-ОНПиЭБ-02») от 16.02.2018г.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Производственная инструкция «О назначении, кратких характеристиках, принципах работы оборудования пожарной сигнализации, дополнительных мерах безопасности при проведении огневых работ в зданиях, сооружениях и помещениях, оборудованных пожарной сигнализацией», ПИ-ОИТ-02;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Регламент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Берёзовская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ГРЭС»;</w:t>
      </w:r>
    </w:p>
    <w:p w:rsidR="004044AB" w:rsidRPr="004044AB" w:rsidRDefault="004044AB" w:rsidP="004044AB">
      <w:pPr>
        <w:numPr>
          <w:ilvl w:val="0"/>
          <w:numId w:val="3"/>
        </w:numPr>
        <w:tabs>
          <w:tab w:val="left" w:pos="851"/>
        </w:tabs>
        <w:spacing w:after="0" w:line="260" w:lineRule="exact"/>
        <w:jc w:val="both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Регламент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ППРк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), технологических карт погрузочно-разгрузочных работ (ТК п/р работ), дополнений к ППР, ТК,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ППРк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, ТК п/р работ.</w:t>
      </w:r>
    </w:p>
    <w:p w:rsidR="004044AB" w:rsidRPr="004044AB" w:rsidRDefault="004044AB" w:rsidP="004044AB">
      <w:pPr>
        <w:numPr>
          <w:ilvl w:val="1"/>
          <w:numId w:val="4"/>
        </w:numPr>
        <w:tabs>
          <w:tab w:val="left" w:pos="993"/>
        </w:tabs>
        <w:spacing w:before="120" w:after="0" w:line="260" w:lineRule="exact"/>
        <w:ind w:firstLine="405"/>
        <w:contextualSpacing/>
        <w:jc w:val="both"/>
        <w:outlineLvl w:val="0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До начала выполнения работ Исполнитель обязан предоставить списки лиц, ответственных за безопасное проведение работ, в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т.ч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электробезопасности, а также лиц ответственных за охрану труда (специалист по охране труда).</w:t>
      </w:r>
    </w:p>
    <w:p w:rsidR="004044AB" w:rsidRPr="004044AB" w:rsidRDefault="004044AB" w:rsidP="004044AB">
      <w:pPr>
        <w:numPr>
          <w:ilvl w:val="1"/>
          <w:numId w:val="4"/>
        </w:numPr>
        <w:tabs>
          <w:tab w:val="left" w:pos="993"/>
        </w:tabs>
        <w:spacing w:before="120" w:after="0" w:line="260" w:lineRule="exact"/>
        <w:ind w:firstLine="405"/>
        <w:contextualSpacing/>
        <w:jc w:val="both"/>
        <w:outlineLvl w:val="0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При количестве персонала Исполнителя, в том числе с учётом персонала субподрядных организаций, более 10-ти человек,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Исполнителя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Исполнителя (с учётом субподрядчиков) более 50-ти человек, должно быть обеспечено постоянное присутствие инспекторов Исполнителя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Исполнителя (в </w:t>
      </w:r>
      <w:proofErr w:type="spell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т.ч</w:t>
      </w:r>
      <w:proofErr w:type="spell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. субподрядчиков), Заказчику предоставляются </w:t>
      </w: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lastRenderedPageBreak/>
        <w:t>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4044AB" w:rsidRPr="004044AB" w:rsidRDefault="004044AB" w:rsidP="004044AB">
      <w:pPr>
        <w:numPr>
          <w:ilvl w:val="1"/>
          <w:numId w:val="4"/>
        </w:numPr>
        <w:tabs>
          <w:tab w:val="left" w:pos="993"/>
        </w:tabs>
        <w:spacing w:before="120" w:after="0" w:line="260" w:lineRule="exact"/>
        <w:ind w:firstLine="405"/>
        <w:contextualSpacing/>
        <w:jc w:val="both"/>
        <w:outlineLvl w:val="0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Исполнитель обязан обеспечить требования п.37.35 Приказа Минтруда России от 24.07.2013 N 328н, "Об утверждении Правил по охране труда при эксплуатации электроустановок</w:t>
      </w:r>
      <w:proofErr w:type="gramStart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",  в</w:t>
      </w:r>
      <w:proofErr w:type="gramEnd"/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 xml:space="preserve"> соответствии с которой «37.35. Работы в подземных кабельных сооружениях, а также их осмотр со спуском в них должны выполняться по наряду не менее чем тремя работниками, двое из которых - страхующие. Между работниками, выполняющими работу, и страхующими должна быть установлена визуальная и/или голосовая связь. Работники должны быть обеспечены средством эвакуации и спасения. Производитель работ должен иметь группу IV. На электростанциях и подстанциях осмотр коллекторов и туннелей, не относящихся к числу газоопасных, разрешено проводить по распоряжению одним работником, имеющим группу III, при наличии устойчивой связи (телефон, радиостанция)».</w:t>
      </w:r>
    </w:p>
    <w:p w:rsidR="004044AB" w:rsidRPr="004044AB" w:rsidRDefault="004044AB" w:rsidP="004044AB">
      <w:pPr>
        <w:numPr>
          <w:ilvl w:val="1"/>
          <w:numId w:val="4"/>
        </w:numPr>
        <w:tabs>
          <w:tab w:val="left" w:pos="993"/>
        </w:tabs>
        <w:spacing w:before="120" w:after="0" w:line="260" w:lineRule="exact"/>
        <w:ind w:firstLine="405"/>
        <w:contextualSpacing/>
        <w:jc w:val="both"/>
        <w:outlineLvl w:val="0"/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</w:pPr>
      <w:r w:rsidRPr="004044AB">
        <w:rPr>
          <w:rFonts w:ascii="Arial" w:eastAsia="Verdana" w:hAnsi="Arial" w:cs="Arial"/>
          <w:color w:val="000000"/>
          <w:spacing w:val="-10"/>
          <w:sz w:val="20"/>
          <w:szCs w:val="20"/>
          <w:lang w:eastAsia="ru-RU"/>
        </w:rPr>
        <w:t>Исполнитель обязан обеспечить требования п.5.3 "Типовой инструкции по эксплуатации автоматических установок пожарной сигнализации на энергетических предприятиях. РД 34.49.504-96", в соответствии с которой «5.3. Проведение работ по техническому обслуживанию АУПС должно производиться бригадой, состоящей, как минимум, из двух человек».</w:t>
      </w:r>
    </w:p>
    <w:p w:rsidR="00DC00FB" w:rsidRDefault="004044AB">
      <w:bookmarkStart w:id="0" w:name="_GoBack"/>
      <w:bookmarkEnd w:id="0"/>
    </w:p>
    <w:sectPr w:rsidR="00DC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D24"/>
    <w:multiLevelType w:val="multilevel"/>
    <w:tmpl w:val="21004C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2571BBD"/>
    <w:multiLevelType w:val="multilevel"/>
    <w:tmpl w:val="9F8C47F8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98D7C7E"/>
    <w:multiLevelType w:val="multilevel"/>
    <w:tmpl w:val="6ED8F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B0061BE"/>
    <w:multiLevelType w:val="hybridMultilevel"/>
    <w:tmpl w:val="F47A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C03A9"/>
    <w:multiLevelType w:val="multilevel"/>
    <w:tmpl w:val="329A9B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27"/>
    <w:rsid w:val="002F0381"/>
    <w:rsid w:val="004044AB"/>
    <w:rsid w:val="00712727"/>
    <w:rsid w:val="00B9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909A9-E214-4C4B-A21B-2D63FF02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1927</Words>
  <Characters>10987</Characters>
  <Application>Microsoft Office Word</Application>
  <DocSecurity>0</DocSecurity>
  <Lines>91</Lines>
  <Paragraphs>25</Paragraphs>
  <ScaleCrop>false</ScaleCrop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Оксана Геннадьевна</dc:creator>
  <cp:keywords/>
  <dc:description/>
  <cp:lastModifiedBy>Закирова Оксана Геннадьевна</cp:lastModifiedBy>
  <cp:revision>2</cp:revision>
  <dcterms:created xsi:type="dcterms:W3CDTF">2019-09-05T04:53:00Z</dcterms:created>
  <dcterms:modified xsi:type="dcterms:W3CDTF">2019-09-05T04:54:00Z</dcterms:modified>
</cp:coreProperties>
</file>