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63497" w:rsidRPr="00F63497" w:rsidRDefault="00FB4974" w:rsidP="00F63497">
      <w:pPr>
        <w:tabs>
          <w:tab w:val="left" w:pos="4680"/>
        </w:tabs>
        <w:spacing w:line="240" w:lineRule="auto"/>
        <w:ind w:left="5427" w:hanging="11"/>
        <w:jc w:val="left"/>
        <w:rPr>
          <w:b/>
          <w:bCs/>
          <w:sz w:val="24"/>
          <w:szCs w:val="24"/>
        </w:rPr>
      </w:pPr>
      <w:r>
        <w:rPr>
          <w:b/>
          <w:bCs/>
          <w:sz w:val="24"/>
          <w:szCs w:val="24"/>
        </w:rPr>
        <w:t>И.о. з</w:t>
      </w:r>
      <w:r w:rsidR="00F63497" w:rsidRPr="00F63497">
        <w:rPr>
          <w:b/>
          <w:bCs/>
          <w:sz w:val="24"/>
          <w:szCs w:val="24"/>
        </w:rPr>
        <w:t>аместител</w:t>
      </w:r>
      <w:r>
        <w:rPr>
          <w:b/>
          <w:bCs/>
          <w:sz w:val="24"/>
          <w:szCs w:val="24"/>
        </w:rPr>
        <w:t>я</w:t>
      </w:r>
      <w:r w:rsidR="00F63497" w:rsidRPr="00F63497">
        <w:rPr>
          <w:b/>
          <w:bCs/>
          <w:sz w:val="24"/>
          <w:szCs w:val="24"/>
        </w:rPr>
        <w:t xml:space="preserve"> директора филиала «Берёзовская ГРЭС»</w:t>
      </w:r>
    </w:p>
    <w:p w:rsidR="00F63497" w:rsidRPr="00F63497" w:rsidRDefault="00F63497" w:rsidP="00F63497">
      <w:pPr>
        <w:tabs>
          <w:tab w:val="left" w:pos="4680"/>
        </w:tabs>
        <w:spacing w:line="240" w:lineRule="auto"/>
        <w:ind w:left="5427" w:hanging="11"/>
        <w:jc w:val="left"/>
        <w:rPr>
          <w:b/>
          <w:bCs/>
          <w:sz w:val="24"/>
          <w:szCs w:val="24"/>
        </w:rPr>
      </w:pPr>
      <w:r w:rsidRPr="00F63497">
        <w:rPr>
          <w:b/>
          <w:bCs/>
          <w:sz w:val="24"/>
          <w:szCs w:val="24"/>
        </w:rPr>
        <w:t>ПАО «Юнипро» по закупкам и общим вопросам</w:t>
      </w:r>
    </w:p>
    <w:p w:rsidR="00942B02" w:rsidRPr="00A76AC0" w:rsidRDefault="00942B02"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942B02" w:rsidRPr="00942B02">
        <w:rPr>
          <w:b/>
          <w:bCs/>
          <w:sz w:val="24"/>
          <w:szCs w:val="24"/>
        </w:rPr>
        <w:t xml:space="preserve"> </w:t>
      </w:r>
      <w:r w:rsidR="00FB4974">
        <w:rPr>
          <w:b/>
          <w:bCs/>
          <w:sz w:val="24"/>
          <w:szCs w:val="24"/>
        </w:rPr>
        <w:t>Исаева А.А</w:t>
      </w:r>
      <w:r w:rsidR="00F63497">
        <w:rPr>
          <w:b/>
          <w:bCs/>
          <w:sz w:val="24"/>
          <w:szCs w:val="24"/>
        </w:rPr>
        <w:t>.</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350D59">
        <w:rPr>
          <w:rFonts w:ascii="Arial" w:hAnsi="Arial" w:cs="Arial"/>
          <w:b/>
          <w:sz w:val="20"/>
        </w:rPr>
        <w:t xml:space="preserve">ОТКРЫТОМУ </w:t>
      </w:r>
      <w:r w:rsidR="008F0C5A" w:rsidRPr="00B7089A">
        <w:rPr>
          <w:rFonts w:ascii="Arial" w:hAnsi="Arial" w:cs="Arial"/>
          <w:b/>
          <w:sz w:val="20"/>
        </w:rPr>
        <w:t>ЗАПРОСУ ПРЕДЛОЖЕНИЙ</w:t>
      </w:r>
      <w:r w:rsidR="00350D59">
        <w:rPr>
          <w:rFonts w:ascii="Arial" w:hAnsi="Arial" w:cs="Arial"/>
          <w:b/>
          <w:sz w:val="20"/>
        </w:rPr>
        <w:t xml:space="preserve"> №</w:t>
      </w:r>
      <w:r w:rsidR="00882BB0">
        <w:rPr>
          <w:rFonts w:ascii="Arial" w:hAnsi="Arial" w:cs="Arial"/>
          <w:b/>
          <w:sz w:val="20"/>
        </w:rPr>
        <w:t>223</w:t>
      </w:r>
    </w:p>
    <w:p w:rsidR="00F01080" w:rsidRDefault="00F01080" w:rsidP="00156D71">
      <w:pPr>
        <w:pStyle w:val="affffb"/>
        <w:jc w:val="center"/>
        <w:rPr>
          <w:rFonts w:ascii="Arial" w:hAnsi="Arial" w:cs="Arial"/>
          <w:caps/>
          <w:color w:val="000000"/>
          <w:sz w:val="20"/>
          <w:highlight w:val="lightGray"/>
        </w:rPr>
      </w:pPr>
    </w:p>
    <w:p w:rsidR="00BA0E88" w:rsidRDefault="00BA0E88" w:rsidP="00D345E3">
      <w:pPr>
        <w:suppressAutoHyphens/>
        <w:spacing w:line="240" w:lineRule="auto"/>
        <w:jc w:val="center"/>
        <w:rPr>
          <w:rFonts w:ascii="Arial" w:hAnsi="Arial" w:cs="Arial"/>
          <w:bCs/>
          <w:sz w:val="20"/>
        </w:rPr>
      </w:pPr>
      <w:r>
        <w:rPr>
          <w:rFonts w:ascii="Arial" w:hAnsi="Arial" w:cs="Arial"/>
          <w:bCs/>
          <w:sz w:val="20"/>
        </w:rPr>
        <w:t>«</w:t>
      </w:r>
      <w:r w:rsidR="001308CF" w:rsidRPr="001308CF">
        <w:rPr>
          <w:rFonts w:ascii="Arial" w:hAnsi="Arial" w:cs="Arial"/>
          <w:bCs/>
          <w:sz w:val="20"/>
        </w:rPr>
        <w:t>МТ</w:t>
      </w:r>
      <w:r w:rsidR="001308CF">
        <w:rPr>
          <w:rFonts w:ascii="Arial" w:hAnsi="Arial" w:cs="Arial"/>
          <w:bCs/>
          <w:sz w:val="20"/>
        </w:rPr>
        <w:t xml:space="preserve">Р для целей реализации проекта </w:t>
      </w:r>
      <w:r w:rsidR="001308CF" w:rsidRPr="001308CF">
        <w:rPr>
          <w:rFonts w:ascii="Arial" w:hAnsi="Arial" w:cs="Arial"/>
          <w:bCs/>
          <w:sz w:val="20"/>
        </w:rPr>
        <w:t>РВР</w:t>
      </w:r>
      <w:r>
        <w:rPr>
          <w:rFonts w:ascii="Arial" w:hAnsi="Arial" w:cs="Arial"/>
          <w:bCs/>
          <w:sz w:val="20"/>
        </w:rPr>
        <w:t>»</w:t>
      </w:r>
    </w:p>
    <w:p w:rsidR="00BA0E88" w:rsidRDefault="00BA0E88" w:rsidP="00D345E3">
      <w:pPr>
        <w:suppressAutoHyphens/>
        <w:spacing w:line="240" w:lineRule="auto"/>
        <w:jc w:val="center"/>
        <w:rPr>
          <w:rFonts w:ascii="Arial" w:hAnsi="Arial" w:cs="Arial"/>
          <w:bCs/>
          <w:sz w:val="20"/>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42B0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2432E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2432E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2432E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2432E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xml:space="preserve">№ </w:t>
      </w:r>
      <w:r w:rsidR="00882BB0">
        <w:rPr>
          <w:rFonts w:ascii="Arial" w:hAnsi="Arial" w:cs="Arial"/>
          <w:color w:val="000000"/>
          <w:sz w:val="20"/>
        </w:rPr>
        <w:t>2</w:t>
      </w:r>
      <w:r w:rsidR="00345AD6">
        <w:rPr>
          <w:rFonts w:ascii="Arial" w:hAnsi="Arial" w:cs="Arial"/>
          <w:color w:val="000000"/>
          <w:sz w:val="20"/>
        </w:rPr>
        <w:t>3</w:t>
      </w:r>
      <w:bookmarkStart w:id="4" w:name="_GoBack"/>
      <w:bookmarkEnd w:id="4"/>
      <w:r w:rsidR="00882BB0">
        <w:rPr>
          <w:rFonts w:ascii="Arial" w:hAnsi="Arial" w:cs="Arial"/>
          <w:color w:val="000000"/>
          <w:sz w:val="20"/>
        </w:rPr>
        <w:t>3</w:t>
      </w:r>
      <w:r w:rsidR="00A3215E" w:rsidRPr="00A3215E">
        <w:rPr>
          <w:rFonts w:ascii="Arial" w:hAnsi="Arial" w:cs="Arial"/>
          <w:color w:val="000000"/>
          <w:sz w:val="20"/>
        </w:rPr>
        <w:t xml:space="preserve"> от </w:t>
      </w:r>
      <w:r w:rsidR="00882BB0">
        <w:rPr>
          <w:rFonts w:ascii="Arial" w:hAnsi="Arial" w:cs="Arial"/>
          <w:color w:val="000000"/>
          <w:sz w:val="20"/>
        </w:rPr>
        <w:t>12</w:t>
      </w:r>
      <w:r w:rsidR="00A3215E" w:rsidRPr="00A3215E">
        <w:rPr>
          <w:rFonts w:ascii="Arial" w:hAnsi="Arial" w:cs="Arial"/>
          <w:color w:val="000000"/>
          <w:sz w:val="20"/>
        </w:rPr>
        <w:t>.</w:t>
      </w:r>
      <w:r w:rsidR="00942B02">
        <w:rPr>
          <w:rFonts w:ascii="Arial" w:hAnsi="Arial" w:cs="Arial"/>
          <w:color w:val="000000"/>
          <w:sz w:val="20"/>
        </w:rPr>
        <w:t>0</w:t>
      </w:r>
      <w:r w:rsidR="00882BB0">
        <w:rPr>
          <w:rFonts w:ascii="Arial" w:hAnsi="Arial" w:cs="Arial"/>
          <w:color w:val="000000"/>
          <w:sz w:val="20"/>
        </w:rPr>
        <w:t>8</w:t>
      </w:r>
      <w:r w:rsidR="00A3215E" w:rsidRPr="00A3215E">
        <w:rPr>
          <w:rFonts w:ascii="Arial" w:hAnsi="Arial" w:cs="Arial"/>
          <w:color w:val="000000"/>
          <w:sz w:val="20"/>
        </w:rPr>
        <w:t>.201</w:t>
      </w:r>
      <w:r w:rsidR="00942B02">
        <w:rPr>
          <w:rFonts w:ascii="Arial" w:hAnsi="Arial" w:cs="Arial"/>
          <w:color w:val="000000"/>
          <w:sz w:val="20"/>
        </w:rPr>
        <w:t>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942B02" w:rsidRPr="00A06F40">
          <w:rPr>
            <w:rStyle w:val="af2"/>
            <w:rFonts w:ascii="Arial" w:hAnsi="Arial" w:cs="Arial"/>
            <w:sz w:val="20"/>
          </w:rPr>
          <w:t>http://unipro.energy/purchase/announcement/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1308CF" w:rsidP="00882BB0">
            <w:pPr>
              <w:tabs>
                <w:tab w:val="left" w:pos="3675"/>
              </w:tabs>
              <w:autoSpaceDE w:val="0"/>
              <w:autoSpaceDN w:val="0"/>
              <w:adjustRightInd w:val="0"/>
              <w:spacing w:line="276" w:lineRule="auto"/>
              <w:ind w:right="-72" w:firstLine="0"/>
              <w:jc w:val="left"/>
              <w:rPr>
                <w:rFonts w:ascii="Arial" w:hAnsi="Arial" w:cs="Arial"/>
                <w:bCs/>
                <w:sz w:val="20"/>
              </w:rPr>
            </w:pPr>
            <w:r w:rsidRPr="001308CF">
              <w:rPr>
                <w:rFonts w:ascii="Arial" w:hAnsi="Arial" w:cs="Arial"/>
                <w:bCs/>
                <w:sz w:val="20"/>
              </w:rPr>
              <w:t>МТ</w:t>
            </w:r>
            <w:r>
              <w:rPr>
                <w:rFonts w:ascii="Arial" w:hAnsi="Arial" w:cs="Arial"/>
                <w:bCs/>
                <w:sz w:val="20"/>
              </w:rPr>
              <w:t xml:space="preserve">Р для целей реализации проекта </w:t>
            </w:r>
            <w:r w:rsidRPr="001308CF">
              <w:rPr>
                <w:rFonts w:ascii="Arial" w:hAnsi="Arial" w:cs="Arial"/>
                <w:bCs/>
                <w:sz w:val="20"/>
              </w:rPr>
              <w:t xml:space="preserve">РВР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942B02" w:rsidRPr="00586392" w:rsidRDefault="00942B02" w:rsidP="00942B02">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B13396" w:rsidRPr="009142B9" w:rsidRDefault="001308CF" w:rsidP="00942B02">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 xml:space="preserve">Местонахождение </w:t>
            </w:r>
            <w:r w:rsidR="00942B02">
              <w:rPr>
                <w:rFonts w:ascii="Arial" w:hAnsi="Arial" w:cs="Arial"/>
                <w:sz w:val="20"/>
                <w:lang w:eastAsia="en-US"/>
              </w:rPr>
              <w:t>заказчика:</w:t>
            </w:r>
            <w:r w:rsidR="00942B02" w:rsidRPr="00586392">
              <w:rPr>
                <w:rFonts w:ascii="Arial" w:hAnsi="Arial" w:cs="Arial"/>
                <w:sz w:val="20"/>
                <w:lang w:eastAsia="en-US"/>
              </w:rPr>
              <w:t xml:space="preserve"> 662328, Красноярский край, Шарыповский</w:t>
            </w:r>
            <w:r w:rsidR="00942B02">
              <w:rPr>
                <w:rFonts w:ascii="Arial" w:hAnsi="Arial" w:cs="Arial"/>
                <w:sz w:val="20"/>
                <w:lang w:eastAsia="en-US"/>
              </w:rPr>
              <w:t xml:space="preserve"> район,</w:t>
            </w:r>
            <w:r w:rsidR="00942B02" w:rsidRPr="00586392">
              <w:rPr>
                <w:rFonts w:ascii="Arial" w:hAnsi="Arial" w:cs="Arial"/>
                <w:sz w:val="20"/>
                <w:lang w:eastAsia="en-US"/>
              </w:rPr>
              <w:t xml:space="preserve"> промбаза «Энергетиков», здание 1/15</w:t>
            </w:r>
            <w:r w:rsidR="00942B02">
              <w:rPr>
                <w:rFonts w:ascii="Arial" w:hAnsi="Arial" w:cs="Arial"/>
                <w:sz w:val="20"/>
                <w:lang w:eastAsia="en-US"/>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42B02" w:rsidRPr="00734AAD"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Подразделение закупок филиала «Березовская ГРЭС» </w:t>
            </w:r>
            <w:r w:rsidRPr="00412766">
              <w:rPr>
                <w:rFonts w:ascii="Arial" w:hAnsi="Arial" w:cs="Arial"/>
                <w:sz w:val="20"/>
              </w:rPr>
              <w:t>ПАО «Юнипро»</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Почтовый адрес:</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662313, Красноярский край, г. Шарыпово, а/я 6-3/</w:t>
            </w:r>
            <w:r>
              <w:rPr>
                <w:rFonts w:ascii="Arial" w:hAnsi="Arial" w:cs="Arial"/>
                <w:sz w:val="20"/>
                <w:lang w:eastAsia="en-US"/>
              </w:rPr>
              <w:t>36</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Сотрудник подразделения закупок (ответственный по закупке): </w:t>
            </w:r>
            <w:r w:rsidRPr="000A5A23">
              <w:rPr>
                <w:rFonts w:ascii="Arial" w:hAnsi="Arial" w:cs="Arial"/>
                <w:sz w:val="20"/>
                <w:lang w:eastAsia="en-US"/>
              </w:rPr>
              <w:t>Дробинин Кирилл Владимирович</w:t>
            </w:r>
          </w:p>
          <w:p w:rsidR="00942B02" w:rsidRDefault="00942B02" w:rsidP="00942B02">
            <w:pPr>
              <w:spacing w:line="276" w:lineRule="auto"/>
              <w:ind w:right="153" w:firstLine="0"/>
              <w:jc w:val="left"/>
              <w:rPr>
                <w:rFonts w:ascii="Arial" w:hAnsi="Arial" w:cs="Arial"/>
                <w:sz w:val="20"/>
                <w:lang w:eastAsia="en-US"/>
              </w:rPr>
            </w:pPr>
            <w:r w:rsidRPr="00412766">
              <w:rPr>
                <w:rFonts w:ascii="Arial" w:hAnsi="Arial" w:cs="Arial"/>
                <w:sz w:val="20"/>
                <w:lang w:eastAsia="en-US"/>
              </w:rPr>
              <w:t xml:space="preserve">адрес электронной почты: </w:t>
            </w:r>
            <w:r w:rsidRPr="000A5A23">
              <w:rPr>
                <w:rStyle w:val="af2"/>
                <w:rFonts w:ascii="Arial" w:hAnsi="Arial" w:cs="Arial"/>
                <w:sz w:val="20"/>
                <w:u w:val="none"/>
                <w:lang w:val="en-US"/>
              </w:rPr>
              <w:t>Drobinin</w:t>
            </w:r>
            <w:r w:rsidRPr="000A5A23">
              <w:rPr>
                <w:rStyle w:val="af2"/>
                <w:rFonts w:ascii="Arial" w:hAnsi="Arial" w:cs="Arial"/>
                <w:sz w:val="20"/>
                <w:u w:val="none"/>
              </w:rPr>
              <w:t>_</w:t>
            </w:r>
            <w:r w:rsidRPr="000A5A23">
              <w:rPr>
                <w:rStyle w:val="af2"/>
                <w:rFonts w:ascii="Arial" w:hAnsi="Arial" w:cs="Arial"/>
                <w:sz w:val="20"/>
                <w:u w:val="none"/>
                <w:lang w:val="en-US"/>
              </w:rPr>
              <w:t>k</w:t>
            </w:r>
            <w:r w:rsidRPr="000A5A23">
              <w:rPr>
                <w:rStyle w:val="af2"/>
                <w:rFonts w:ascii="Arial" w:hAnsi="Arial" w:cs="Arial"/>
                <w:sz w:val="20"/>
                <w:u w:val="none"/>
              </w:rPr>
              <w:t>@</w:t>
            </w:r>
            <w:r w:rsidRPr="000A5A23">
              <w:rPr>
                <w:rStyle w:val="af2"/>
                <w:rFonts w:ascii="Arial" w:hAnsi="Arial" w:cs="Arial"/>
                <w:sz w:val="20"/>
                <w:u w:val="none"/>
                <w:lang w:val="en-US"/>
              </w:rPr>
              <w:t>unipro</w:t>
            </w:r>
            <w:r w:rsidRPr="000A5A23">
              <w:rPr>
                <w:rStyle w:val="af2"/>
                <w:rFonts w:ascii="Arial" w:hAnsi="Arial" w:cs="Arial"/>
                <w:sz w:val="20"/>
                <w:u w:val="none"/>
              </w:rPr>
              <w:t>.</w:t>
            </w:r>
            <w:r w:rsidRPr="000A5A23">
              <w:rPr>
                <w:rStyle w:val="af2"/>
                <w:rFonts w:ascii="Arial" w:hAnsi="Arial" w:cs="Arial"/>
                <w:sz w:val="20"/>
                <w:u w:val="none"/>
                <w:lang w:val="en-US"/>
              </w:rPr>
              <w:t>energy</w:t>
            </w:r>
            <w:r w:rsidRPr="000A5A23">
              <w:rPr>
                <w:rStyle w:val="af2"/>
                <w:rFonts w:ascii="Arial" w:hAnsi="Arial" w:cs="Arial"/>
                <w:sz w:val="20"/>
                <w:u w:val="none"/>
              </w:rPr>
              <w:t xml:space="preserve"> </w:t>
            </w:r>
            <w:r w:rsidRPr="00412766">
              <w:rPr>
                <w:rFonts w:ascii="Arial" w:hAnsi="Arial" w:cs="Arial"/>
                <w:sz w:val="20"/>
                <w:lang w:eastAsia="en-US"/>
              </w:rPr>
              <w:t xml:space="preserve">номер контактного телефона: </w:t>
            </w:r>
            <w:r w:rsidRPr="000A5A23">
              <w:rPr>
                <w:rFonts w:ascii="Arial" w:hAnsi="Arial" w:cs="Arial"/>
                <w:sz w:val="20"/>
                <w:lang w:eastAsia="en-US"/>
              </w:rPr>
              <w:t>8(39153)7</w:t>
            </w:r>
            <w:r>
              <w:rPr>
                <w:rFonts w:ascii="Arial" w:hAnsi="Arial" w:cs="Arial"/>
                <w:sz w:val="20"/>
                <w:lang w:eastAsia="en-US"/>
              </w:rPr>
              <w:t>2</w:t>
            </w:r>
            <w:r w:rsidRPr="000A5A23">
              <w:rPr>
                <w:rFonts w:ascii="Arial" w:hAnsi="Arial" w:cs="Arial"/>
                <w:b/>
                <w:sz w:val="20"/>
                <w:lang w:eastAsia="en-US"/>
              </w:rPr>
              <w:t>-</w:t>
            </w:r>
            <w:r>
              <w:rPr>
                <w:rFonts w:ascii="Arial" w:hAnsi="Arial" w:cs="Arial"/>
                <w:sz w:val="20"/>
                <w:lang w:eastAsia="en-US"/>
              </w:rPr>
              <w:t>067</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882BB0">
              <w:rPr>
                <w:rFonts w:ascii="Arial" w:hAnsi="Arial" w:cs="Arial"/>
                <w:sz w:val="20"/>
                <w:lang w:eastAsia="en-US"/>
              </w:rPr>
              <w:t>12</w:t>
            </w:r>
            <w:r w:rsidR="009142B9" w:rsidRPr="009142B9">
              <w:rPr>
                <w:rFonts w:ascii="Arial" w:hAnsi="Arial" w:cs="Arial"/>
                <w:sz w:val="20"/>
                <w:lang w:eastAsia="en-US"/>
              </w:rPr>
              <w:t>.</w:t>
            </w:r>
            <w:r w:rsidR="00942B02">
              <w:rPr>
                <w:rFonts w:ascii="Arial" w:hAnsi="Arial" w:cs="Arial"/>
                <w:sz w:val="20"/>
                <w:lang w:eastAsia="en-US"/>
              </w:rPr>
              <w:t>0</w:t>
            </w:r>
            <w:r w:rsidR="00882BB0">
              <w:rPr>
                <w:rFonts w:ascii="Arial" w:hAnsi="Arial" w:cs="Arial"/>
                <w:sz w:val="20"/>
                <w:lang w:eastAsia="en-US"/>
              </w:rPr>
              <w:t>8</w:t>
            </w:r>
            <w:r w:rsidR="009142B9" w:rsidRPr="009142B9">
              <w:rPr>
                <w:rFonts w:ascii="Arial" w:hAnsi="Arial" w:cs="Arial"/>
                <w:sz w:val="20"/>
                <w:lang w:eastAsia="en-US"/>
              </w:rPr>
              <w:t>.201</w:t>
            </w:r>
            <w:r w:rsidR="00942B02">
              <w:rPr>
                <w:rFonts w:ascii="Arial" w:hAnsi="Arial" w:cs="Arial"/>
                <w:sz w:val="20"/>
                <w:lang w:eastAsia="en-US"/>
              </w:rPr>
              <w:t>9</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9F758E"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6134F">
              <w:rPr>
                <w:rFonts w:ascii="Arial" w:hAnsi="Arial" w:cs="Arial"/>
                <w:sz w:val="20"/>
                <w:lang w:eastAsia="en-US"/>
              </w:rPr>
              <w:t>12</w:t>
            </w:r>
            <w:r w:rsidRPr="007164D4">
              <w:rPr>
                <w:rFonts w:ascii="Arial" w:hAnsi="Arial" w:cs="Arial"/>
                <w:sz w:val="20"/>
                <w:lang w:eastAsia="en-US"/>
              </w:rPr>
              <w:t xml:space="preserve">:00 </w:t>
            </w:r>
            <w:r w:rsidR="0066134F">
              <w:rPr>
                <w:rFonts w:ascii="Arial" w:hAnsi="Arial" w:cs="Arial"/>
                <w:sz w:val="20"/>
                <w:lang w:eastAsia="en-US"/>
              </w:rPr>
              <w:t>МСК</w:t>
            </w:r>
            <w:r w:rsidR="00071AD3" w:rsidRPr="007164D4">
              <w:rPr>
                <w:rFonts w:ascii="Arial" w:hAnsi="Arial" w:cs="Arial"/>
                <w:sz w:val="20"/>
                <w:lang w:eastAsia="en-US"/>
              </w:rPr>
              <w:t xml:space="preserve"> </w:t>
            </w:r>
            <w:r w:rsidR="00882BB0">
              <w:rPr>
                <w:rFonts w:ascii="Arial" w:hAnsi="Arial" w:cs="Arial"/>
                <w:sz w:val="20"/>
                <w:lang w:eastAsia="en-US"/>
              </w:rPr>
              <w:t>16</w:t>
            </w:r>
            <w:r w:rsidR="009142B9">
              <w:rPr>
                <w:rFonts w:ascii="Arial" w:hAnsi="Arial" w:cs="Arial"/>
                <w:sz w:val="20"/>
                <w:lang w:eastAsia="en-US"/>
              </w:rPr>
              <w:t>.</w:t>
            </w:r>
            <w:r w:rsidR="00942B02">
              <w:rPr>
                <w:rFonts w:ascii="Arial" w:hAnsi="Arial" w:cs="Arial"/>
                <w:sz w:val="20"/>
                <w:lang w:eastAsia="en-US"/>
              </w:rPr>
              <w:t>0</w:t>
            </w:r>
            <w:r w:rsidR="00882BB0">
              <w:rPr>
                <w:rFonts w:ascii="Arial" w:hAnsi="Arial" w:cs="Arial"/>
                <w:sz w:val="20"/>
                <w:lang w:eastAsia="en-US"/>
              </w:rPr>
              <w:t>8</w:t>
            </w:r>
            <w:r w:rsidR="009142B9">
              <w:rPr>
                <w:rFonts w:ascii="Arial" w:hAnsi="Arial" w:cs="Arial"/>
                <w:sz w:val="20"/>
                <w:lang w:eastAsia="en-US"/>
              </w:rPr>
              <w:t>.201</w:t>
            </w:r>
            <w:r w:rsidR="00942B02">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308CF">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882BB0"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10</w:t>
            </w:r>
            <w:r w:rsidR="00B53177">
              <w:rPr>
                <w:rFonts w:ascii="Arial" w:hAnsi="Arial" w:cs="Arial"/>
                <w:sz w:val="20"/>
              </w:rPr>
              <w:t>.</w:t>
            </w:r>
            <w:r>
              <w:rPr>
                <w:rFonts w:ascii="Arial" w:hAnsi="Arial" w:cs="Arial"/>
                <w:sz w:val="20"/>
              </w:rPr>
              <w:t>10</w:t>
            </w:r>
            <w:r w:rsidR="00B53177">
              <w:rPr>
                <w:rFonts w:ascii="Arial" w:hAnsi="Arial" w:cs="Arial"/>
                <w:sz w:val="20"/>
              </w:rPr>
              <w:t>.</w:t>
            </w:r>
            <w:r w:rsidR="00EA4A5D">
              <w:rPr>
                <w:rFonts w:ascii="Arial" w:hAnsi="Arial" w:cs="Arial"/>
                <w:sz w:val="20"/>
              </w:rPr>
              <w:t>201</w:t>
            </w:r>
            <w:r w:rsidR="00C51BDE">
              <w:rPr>
                <w:rFonts w:ascii="Arial" w:hAnsi="Arial" w:cs="Arial"/>
                <w:sz w:val="20"/>
              </w:rPr>
              <w:t>9</w:t>
            </w:r>
            <w:r w:rsidR="00B53177">
              <w:rPr>
                <w:rFonts w:ascii="Arial" w:hAnsi="Arial" w:cs="Arial"/>
                <w:sz w:val="20"/>
              </w:rPr>
              <w:t xml:space="preserve"> 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D558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r w:rsidR="00FA0D8B" w:rsidRPr="00CB1671">
                <w:rPr>
                  <w:rStyle w:val="af2"/>
                  <w:rFonts w:ascii="Arial" w:hAnsi="Arial" w:cs="Arial"/>
                  <w:sz w:val="20"/>
                  <w:lang w:val="en-US" w:eastAsia="en-US"/>
                </w:rPr>
                <w:t>Drobinin</w:t>
              </w:r>
              <w:r w:rsidR="00FA0D8B" w:rsidRPr="00BD558E">
                <w:rPr>
                  <w:rStyle w:val="af2"/>
                  <w:rFonts w:ascii="Arial" w:hAnsi="Arial" w:cs="Arial"/>
                  <w:sz w:val="20"/>
                  <w:lang w:eastAsia="en-US"/>
                </w:rPr>
                <w:t>_</w:t>
              </w:r>
              <w:r w:rsidR="00FA0D8B" w:rsidRPr="00CB1671">
                <w:rPr>
                  <w:rStyle w:val="af2"/>
                  <w:rFonts w:ascii="Arial" w:hAnsi="Arial" w:cs="Arial"/>
                  <w:sz w:val="20"/>
                  <w:lang w:val="en-US" w:eastAsia="en-US"/>
                </w:rPr>
                <w:t>K</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unipro</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w:t>
            </w:r>
            <w:r w:rsidR="00942B02">
              <w:rPr>
                <w:rFonts w:ascii="Arial" w:hAnsi="Arial" w:cs="Arial"/>
                <w:sz w:val="20"/>
              </w:rPr>
              <w:t xml:space="preserve">м сайте компании и доступна по </w:t>
            </w:r>
            <w:r w:rsidRPr="00B7089A">
              <w:rPr>
                <w:rFonts w:ascii="Arial" w:hAnsi="Arial" w:cs="Arial"/>
                <w:sz w:val="20"/>
              </w:rPr>
              <w:t>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34F" w:rsidRPr="00B7089A">
        <w:rPr>
          <w:rFonts w:ascii="Arial" w:hAnsi="Arial" w:cs="Arial"/>
          <w:color w:val="000000"/>
          <w:sz w:val="20"/>
        </w:rPr>
        <w:t>График поставки товара  (форма</w:t>
      </w:r>
      <w:r w:rsidR="0066134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Анкета Участника (форма 5</w:t>
      </w:r>
      <w:r w:rsidR="0066134F" w:rsidRPr="0066134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Справка о перечне и годовых объемах выполнения аналогичных договоров (форма 6</w:t>
      </w:r>
      <w:r w:rsidR="0066134F" w:rsidRPr="0066134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34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34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2E3" w:rsidRDefault="002432E3">
      <w:r>
        <w:separator/>
      </w:r>
    </w:p>
  </w:endnote>
  <w:endnote w:type="continuationSeparator" w:id="0">
    <w:p w:rsidR="002432E3" w:rsidRDefault="002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6134F" w:rsidRDefault="0066134F">
        <w:pPr>
          <w:pStyle w:val="af0"/>
          <w:jc w:val="right"/>
        </w:pPr>
        <w:r>
          <w:fldChar w:fldCharType="begin"/>
        </w:r>
        <w:r>
          <w:instrText xml:space="preserve"> PAGE   \* MERGEFORMAT </w:instrText>
        </w:r>
        <w:r>
          <w:fldChar w:fldCharType="separate"/>
        </w:r>
        <w:r w:rsidR="00345AD6">
          <w:rPr>
            <w:noProof/>
          </w:rPr>
          <w:t>5</w:t>
        </w:r>
        <w:r>
          <w:rPr>
            <w:noProof/>
          </w:rPr>
          <w:fldChar w:fldCharType="end"/>
        </w:r>
      </w:p>
    </w:sdtContent>
  </w:sdt>
  <w:p w:rsidR="0066134F" w:rsidRDefault="006613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2E3" w:rsidRDefault="002432E3">
      <w:r>
        <w:separator/>
      </w:r>
    </w:p>
  </w:footnote>
  <w:footnote w:type="continuationSeparator" w:id="0">
    <w:p w:rsidR="002432E3" w:rsidRDefault="00243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4F" w:rsidRPr="00F01080" w:rsidRDefault="006613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576BD"/>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8CF"/>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426"/>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2E3"/>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5AD6"/>
    <w:rsid w:val="00346D27"/>
    <w:rsid w:val="00346D80"/>
    <w:rsid w:val="00350293"/>
    <w:rsid w:val="00350A3C"/>
    <w:rsid w:val="00350D59"/>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A72"/>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95B"/>
    <w:rsid w:val="005D5A4F"/>
    <w:rsid w:val="005D69E7"/>
    <w:rsid w:val="005D722D"/>
    <w:rsid w:val="005D7ADE"/>
    <w:rsid w:val="005E023B"/>
    <w:rsid w:val="005E063D"/>
    <w:rsid w:val="005E091D"/>
    <w:rsid w:val="005E1955"/>
    <w:rsid w:val="005E28CB"/>
    <w:rsid w:val="005E30E6"/>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34F"/>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693"/>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493"/>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199"/>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635"/>
    <w:rsid w:val="00877E09"/>
    <w:rsid w:val="00880810"/>
    <w:rsid w:val="00880B61"/>
    <w:rsid w:val="00880C8D"/>
    <w:rsid w:val="00881AB5"/>
    <w:rsid w:val="00881E82"/>
    <w:rsid w:val="008824CD"/>
    <w:rsid w:val="00882BB0"/>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04A4"/>
    <w:rsid w:val="008B18A8"/>
    <w:rsid w:val="008B201C"/>
    <w:rsid w:val="008B2FCA"/>
    <w:rsid w:val="008B3D29"/>
    <w:rsid w:val="008B3D93"/>
    <w:rsid w:val="008B4E96"/>
    <w:rsid w:val="008B5115"/>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2B02"/>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144"/>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58E"/>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E89"/>
    <w:rsid w:val="00B433D4"/>
    <w:rsid w:val="00B4368D"/>
    <w:rsid w:val="00B4385D"/>
    <w:rsid w:val="00B4689E"/>
    <w:rsid w:val="00B478C2"/>
    <w:rsid w:val="00B478DA"/>
    <w:rsid w:val="00B479B5"/>
    <w:rsid w:val="00B47B2D"/>
    <w:rsid w:val="00B50CF3"/>
    <w:rsid w:val="00B50D0D"/>
    <w:rsid w:val="00B50F56"/>
    <w:rsid w:val="00B51026"/>
    <w:rsid w:val="00B52A91"/>
    <w:rsid w:val="00B53177"/>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88"/>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58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1BDE"/>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10B"/>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B"/>
    <w:rsid w:val="00E4173D"/>
    <w:rsid w:val="00E4195E"/>
    <w:rsid w:val="00E425FD"/>
    <w:rsid w:val="00E431C6"/>
    <w:rsid w:val="00E43589"/>
    <w:rsid w:val="00E43736"/>
    <w:rsid w:val="00E43FD8"/>
    <w:rsid w:val="00E43FE0"/>
    <w:rsid w:val="00E44684"/>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A5D"/>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5568"/>
    <w:rsid w:val="00F56A96"/>
    <w:rsid w:val="00F5764B"/>
    <w:rsid w:val="00F6089C"/>
    <w:rsid w:val="00F60948"/>
    <w:rsid w:val="00F60C89"/>
    <w:rsid w:val="00F60FA8"/>
    <w:rsid w:val="00F61144"/>
    <w:rsid w:val="00F6116E"/>
    <w:rsid w:val="00F615D3"/>
    <w:rsid w:val="00F618CC"/>
    <w:rsid w:val="00F63497"/>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0D8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4974"/>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6FFBB0-4C86-4A8C-B506-1DF150FC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robinin_K@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robinin_K@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unipro.energy/purchase/announcement/"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88925-0A0C-46F7-B293-67C20CE2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29</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54</cp:revision>
  <cp:lastPrinted>2018-05-24T04:33:00Z</cp:lastPrinted>
  <dcterms:created xsi:type="dcterms:W3CDTF">2016-09-06T01:09:00Z</dcterms:created>
  <dcterms:modified xsi:type="dcterms:W3CDTF">2019-08-12T06:48:00Z</dcterms:modified>
</cp:coreProperties>
</file>