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C5" w:rsidRPr="00D641C7" w:rsidRDefault="004537C5" w:rsidP="004537C5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ТЕХНИЧЕСКОЕ ЗАДАНИЕ</w:t>
      </w:r>
    </w:p>
    <w:p w:rsidR="004537C5" w:rsidRPr="00D641C7" w:rsidRDefault="004537C5" w:rsidP="004537C5">
      <w:pPr>
        <w:spacing w:line="276" w:lineRule="auto"/>
        <w:ind w:right="-171"/>
        <w:jc w:val="center"/>
        <w:rPr>
          <w:rStyle w:val="50"/>
          <w:rFonts w:ascii="Arial" w:hAnsi="Arial" w:cs="Arial"/>
          <w:i w:val="0"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на выполнение работ по модернизации турбогенератора ТГВ-200-2МУЗ энергоблока №3</w:t>
      </w:r>
      <w:r w:rsidRPr="00D641C7">
        <w:rPr>
          <w:rFonts w:ascii="Arial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b/>
          <w:sz w:val="22"/>
          <w:szCs w:val="22"/>
        </w:rPr>
        <w:t>филиала «Смоленская ГРЭС» ПАО «Юнипро»</w:t>
      </w:r>
    </w:p>
    <w:p w:rsidR="004537C5" w:rsidRPr="00D641C7" w:rsidRDefault="004537C5" w:rsidP="004537C5">
      <w:pPr>
        <w:spacing w:line="276" w:lineRule="auto"/>
        <w:ind w:right="-171"/>
        <w:jc w:val="center"/>
        <w:rPr>
          <w:rStyle w:val="50"/>
          <w:rFonts w:ascii="Arial" w:hAnsi="Arial" w:cs="Arial"/>
          <w:i w:val="0"/>
          <w:sz w:val="22"/>
          <w:szCs w:val="22"/>
        </w:rPr>
      </w:pPr>
    </w:p>
    <w:p w:rsidR="004537C5" w:rsidRPr="00D641C7" w:rsidRDefault="004537C5" w:rsidP="004537C5">
      <w:pPr>
        <w:spacing w:line="276" w:lineRule="auto"/>
        <w:ind w:right="-171"/>
        <w:jc w:val="center"/>
        <w:rPr>
          <w:rStyle w:val="50"/>
          <w:rFonts w:ascii="Arial" w:hAnsi="Arial" w:cs="Arial"/>
          <w:bCs w:val="0"/>
          <w:i w:val="0"/>
          <w:iCs w:val="0"/>
          <w:sz w:val="22"/>
          <w:szCs w:val="22"/>
          <w:shd w:val="clear" w:color="auto" w:fill="auto"/>
        </w:rPr>
      </w:pPr>
      <w:r w:rsidRPr="00D641C7">
        <w:rPr>
          <w:rFonts w:ascii="Arial" w:hAnsi="Arial" w:cs="Arial"/>
          <w:b/>
          <w:sz w:val="22"/>
          <w:szCs w:val="22"/>
        </w:rPr>
        <w:t xml:space="preserve">Уровень риска ОТ: </w:t>
      </w:r>
      <w:r w:rsidRPr="00D641C7">
        <w:rPr>
          <w:rFonts w:ascii="Arial" w:hAnsi="Arial" w:cs="Arial"/>
          <w:sz w:val="22"/>
          <w:szCs w:val="22"/>
          <w:u w:val="single"/>
        </w:rPr>
        <w:t>Высокий риск.</w:t>
      </w:r>
    </w:p>
    <w:p w:rsidR="004537C5" w:rsidRPr="00D641C7" w:rsidRDefault="004537C5" w:rsidP="004537C5">
      <w:pPr>
        <w:pStyle w:val="a4"/>
        <w:numPr>
          <w:ilvl w:val="0"/>
          <w:numId w:val="2"/>
        </w:numPr>
        <w:spacing w:line="276" w:lineRule="auto"/>
        <w:ind w:left="284" w:right="-171" w:hanging="284"/>
        <w:jc w:val="both"/>
        <w:rPr>
          <w:rFonts w:ascii="Arial" w:hAnsi="Arial" w:cs="Arial"/>
          <w:b/>
          <w:bCs/>
          <w:iCs/>
          <w:sz w:val="22"/>
          <w:szCs w:val="22"/>
          <w:shd w:val="clear" w:color="auto" w:fill="FFFFFF"/>
        </w:rPr>
      </w:pPr>
      <w:r w:rsidRPr="00D641C7">
        <w:rPr>
          <w:rStyle w:val="50"/>
          <w:rFonts w:ascii="Arial" w:hAnsi="Arial" w:cs="Arial"/>
          <w:sz w:val="22"/>
          <w:szCs w:val="22"/>
        </w:rPr>
        <w:t>Наименование филиала</w:t>
      </w:r>
      <w:r w:rsidRPr="00D641C7">
        <w:rPr>
          <w:rFonts w:ascii="Arial" w:hAnsi="Arial" w:cs="Arial"/>
          <w:sz w:val="22"/>
          <w:szCs w:val="22"/>
        </w:rPr>
        <w:t>.</w:t>
      </w:r>
    </w:p>
    <w:p w:rsidR="004537C5" w:rsidRPr="00D641C7" w:rsidRDefault="004537C5" w:rsidP="004537C5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Филиал «Смоленская ГРЭС» ПАО «Юнипро».</w:t>
      </w:r>
    </w:p>
    <w:p w:rsidR="004537C5" w:rsidRPr="00D641C7" w:rsidRDefault="004537C5" w:rsidP="004537C5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4537C5" w:rsidRPr="00D641C7" w:rsidRDefault="004537C5" w:rsidP="004537C5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2. Полное наименование оборудования (системы), место производства Работ.</w:t>
      </w:r>
    </w:p>
    <w:p w:rsidR="004537C5" w:rsidRPr="00D641C7" w:rsidRDefault="004537C5" w:rsidP="004537C5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Турбогенератор ТГВ-200-2МУЗ, заводской номер 01655, энергоблока №3, Главный корпус, ряд А - Б, Ось 11-12.</w:t>
      </w:r>
    </w:p>
    <w:p w:rsidR="004537C5" w:rsidRPr="00D641C7" w:rsidRDefault="004537C5" w:rsidP="004537C5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jc w:val="both"/>
        <w:rPr>
          <w:rStyle w:val="2"/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-1" w:firstLine="0"/>
        <w:jc w:val="both"/>
        <w:rPr>
          <w:rFonts w:ascii="Arial" w:hAnsi="Arial" w:cs="Arial"/>
          <w:sz w:val="22"/>
          <w:szCs w:val="22"/>
        </w:rPr>
      </w:pPr>
      <w:r w:rsidRPr="00D641C7">
        <w:rPr>
          <w:rStyle w:val="2"/>
          <w:rFonts w:ascii="Arial" w:hAnsi="Arial" w:cs="Arial"/>
          <w:sz w:val="22"/>
          <w:szCs w:val="22"/>
        </w:rPr>
        <w:t>3. Основание для производства Работ</w:t>
      </w:r>
      <w:r w:rsidRPr="00D641C7">
        <w:rPr>
          <w:rFonts w:ascii="Arial" w:hAnsi="Arial" w:cs="Arial"/>
          <w:sz w:val="22"/>
          <w:szCs w:val="22"/>
        </w:rPr>
        <w:t>.</w:t>
      </w:r>
    </w:p>
    <w:p w:rsidR="004537C5" w:rsidRPr="00D641C7" w:rsidRDefault="004537C5" w:rsidP="004537C5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На основании актов дефектации, заключения </w:t>
      </w:r>
      <w:r w:rsidRPr="00D641C7">
        <w:rPr>
          <w:rFonts w:ascii="Arial" w:hAnsi="Arial" w:cs="Arial"/>
          <w:bCs/>
          <w:sz w:val="22"/>
          <w:szCs w:val="22"/>
        </w:rPr>
        <w:t>комплексно-диагностического обследования.</w:t>
      </w:r>
    </w:p>
    <w:p w:rsidR="004537C5" w:rsidRPr="00D641C7" w:rsidRDefault="004537C5" w:rsidP="004537C5">
      <w:pPr>
        <w:pStyle w:val="a4"/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:rsidR="004537C5" w:rsidRPr="00D641C7" w:rsidRDefault="004537C5" w:rsidP="004537C5">
      <w:pPr>
        <w:pStyle w:val="a4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641C7">
        <w:rPr>
          <w:rStyle w:val="2"/>
          <w:rFonts w:ascii="Arial" w:hAnsi="Arial" w:cs="Arial"/>
          <w:sz w:val="22"/>
          <w:szCs w:val="22"/>
        </w:rPr>
        <w:t>4. Цель проведения работ</w:t>
      </w:r>
      <w:r w:rsidRPr="00D641C7">
        <w:rPr>
          <w:rFonts w:ascii="Arial" w:hAnsi="Arial" w:cs="Arial"/>
          <w:sz w:val="22"/>
          <w:szCs w:val="22"/>
        </w:rPr>
        <w:t>.</w:t>
      </w:r>
    </w:p>
    <w:p w:rsidR="004537C5" w:rsidRPr="00D641C7" w:rsidRDefault="004537C5" w:rsidP="004537C5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Обеспечение эксплуатационной надёжности генератора в области крепления лобовых частей обмотки статора. </w:t>
      </w:r>
      <w:r w:rsidRPr="00D641C7">
        <w:rPr>
          <w:rFonts w:ascii="Arial" w:hAnsi="Arial" w:cs="Arial"/>
          <w:bCs/>
          <w:sz w:val="22"/>
          <w:szCs w:val="22"/>
        </w:rPr>
        <w:t>Восстановление исправности на основании заключения комплексно-диагностического обследования, проведённого</w:t>
      </w:r>
      <w:r w:rsidRPr="00D641C7">
        <w:rPr>
          <w:rFonts w:ascii="Arial" w:hAnsi="Arial" w:cs="Arial"/>
          <w:sz w:val="22"/>
          <w:szCs w:val="22"/>
        </w:rPr>
        <w:t xml:space="preserve"> в феврале 2018г. специалистами ООО «Электросервис-НТЦГ»</w:t>
      </w:r>
      <w:r w:rsidRPr="00D641C7">
        <w:rPr>
          <w:rFonts w:ascii="Arial" w:hAnsi="Arial" w:cs="Arial"/>
          <w:bCs/>
          <w:sz w:val="22"/>
          <w:szCs w:val="22"/>
        </w:rPr>
        <w:t>, увеличение паркового ресурса по сравнению с текущим, работоспособности и обеспечения эксплуатационной надёжности, безопасной и экономичной эксплуатации оборудования.</w:t>
      </w:r>
    </w:p>
    <w:p w:rsidR="004537C5" w:rsidRPr="00D641C7" w:rsidRDefault="004537C5" w:rsidP="004537C5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4537C5" w:rsidRPr="00D641C7" w:rsidRDefault="004537C5" w:rsidP="004537C5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5. Содержание Работ.</w:t>
      </w:r>
    </w:p>
    <w:p w:rsidR="004537C5" w:rsidRPr="00D641C7" w:rsidRDefault="004537C5" w:rsidP="004537C5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Подрядчик осуществляет выполнение работ по реконструкции креплений лобовых частей обмотки статора, для обеспечения монолитности и исключения подвижности и вибрации отдельных стержней, </w:t>
      </w:r>
      <w:r w:rsidRPr="00D641C7">
        <w:rPr>
          <w:rFonts w:ascii="Arial" w:hAnsi="Arial" w:cs="Arial"/>
          <w:bCs/>
          <w:sz w:val="22"/>
          <w:szCs w:val="22"/>
        </w:rPr>
        <w:t xml:space="preserve">испытанию активной стали статора электромагнитным методом при кольцевом намагничивании сердечника с малой индукцией </w:t>
      </w:r>
      <w:r w:rsidRPr="00D641C7">
        <w:rPr>
          <w:rFonts w:ascii="Arial" w:hAnsi="Arial" w:cs="Arial"/>
          <w:sz w:val="22"/>
          <w:szCs w:val="22"/>
        </w:rPr>
        <w:t>и выполнение сопутствующих работ по разборке генератора, демонтажу БТВ и другого оборудования, балансировки и наладочных работ. Реконструкция подразумевает замену радиальных и тангециальных тяг всех верхних стержней, тяг нижних стержней после проведения дефектации и замену радиальных тяг 15-го нижнего стержня сторона турбины и сторона контактных колец из-за обрыва стеклобандажной петли, при этом, должна быть обеспечена возможность подтяжки и стопорение тяг, которые ослабли в процессе эксплуатации и возможность проведения ремонта отдельных элементов обмотки в случае повреждения изоляции отдельных стержней и их пробоя. Все материалы и запасные части для выполнения работ поставляет Подрядчик.</w:t>
      </w:r>
    </w:p>
    <w:p w:rsidR="004537C5" w:rsidRPr="00D641C7" w:rsidRDefault="004537C5" w:rsidP="004537C5">
      <w:pPr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Техническая организация, контроль и приемка работ по модернизации турбогенератора ТГВ-200-2МУЗ энергоблока №3, контроль соответствия выполняемых работ, применяемых материалов и запасных частей требованиям технической документации предприятия-изготовителя и действующей НТД, квалифицированное и оперативное решение технических вопросов, возникающих в ходе выполнения работ и последующих пусковых операциях осуществляется  силами шеф-инженера, являющегося полномочным представителем предприятия-изготовителя турбогенератора   ТГВ-200-2МУ3. Длительность командировки шеф-инженера 65 календарных дней </w:t>
      </w:r>
      <w:r w:rsidRPr="00D641C7">
        <w:rPr>
          <w:rFonts w:ascii="Arial" w:hAnsi="Arial" w:cs="Arial"/>
          <w:sz w:val="22"/>
        </w:rPr>
        <w:t>без учета времени в пути.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 xml:space="preserve">5.1. Детальное содержание работ определяется сметами Заказчика (Приложение 2). 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0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Краткое содержание работ: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 xml:space="preserve">- </w:t>
      </w:r>
      <w:r w:rsidRPr="00D641C7">
        <w:rPr>
          <w:rFonts w:ascii="Arial" w:hAnsi="Arial" w:cs="Arial"/>
          <w:b w:val="0"/>
          <w:i w:val="0"/>
          <w:sz w:val="22"/>
          <w:szCs w:val="22"/>
        </w:rPr>
        <w:t>Поставка материалов, запасных частей Подрядчиком и проведение входного контроля</w:t>
      </w: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;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 xml:space="preserve">- </w:t>
      </w:r>
      <w:r w:rsidRPr="00D641C7">
        <w:rPr>
          <w:rFonts w:ascii="Arial" w:hAnsi="Arial" w:cs="Arial"/>
          <w:b w:val="0"/>
          <w:i w:val="0"/>
          <w:sz w:val="22"/>
          <w:szCs w:val="22"/>
        </w:rPr>
        <w:t>Разборка турбогенератора</w:t>
      </w: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;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-</w:t>
      </w:r>
      <w:r w:rsidRPr="00D641C7">
        <w:rPr>
          <w:rFonts w:ascii="Arial" w:hAnsi="Arial" w:cs="Arial"/>
          <w:i w:val="0"/>
          <w:sz w:val="22"/>
          <w:szCs w:val="22"/>
        </w:rPr>
        <w:t xml:space="preserve"> </w:t>
      </w:r>
      <w:r w:rsidRPr="00D641C7">
        <w:rPr>
          <w:rFonts w:ascii="Arial" w:hAnsi="Arial" w:cs="Arial"/>
          <w:b w:val="0"/>
          <w:i w:val="0"/>
          <w:sz w:val="22"/>
          <w:szCs w:val="22"/>
        </w:rPr>
        <w:t>Работы по модернизации статора</w:t>
      </w: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;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</w:rPr>
      </w:pPr>
      <w:r w:rsidRPr="00D641C7">
        <w:rPr>
          <w:rFonts w:ascii="Arial" w:hAnsi="Arial" w:cs="Arial"/>
          <w:b w:val="0"/>
          <w:i w:val="0"/>
          <w:sz w:val="22"/>
          <w:szCs w:val="22"/>
        </w:rPr>
        <w:t>- Проверка исправности датчиков температурного контроля меди, железа, газа, дистиллята генератора с составлением протокола проверки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</w:rPr>
        <w:lastRenderedPageBreak/>
        <w:t>- Восстановление работоспособности датчиков температурного контроля меди, железа, газа, дистиллята генератора.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 xml:space="preserve">- </w:t>
      </w:r>
      <w:r w:rsidRPr="00D641C7">
        <w:rPr>
          <w:rFonts w:ascii="Arial" w:hAnsi="Arial" w:cs="Arial"/>
          <w:b w:val="0"/>
          <w:i w:val="0"/>
          <w:sz w:val="22"/>
          <w:szCs w:val="22"/>
        </w:rPr>
        <w:t>Сборка турбогенератора</w:t>
      </w: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, проведение испытаний;</w:t>
      </w:r>
    </w:p>
    <w:p w:rsidR="004537C5" w:rsidRPr="00D641C7" w:rsidRDefault="004537C5" w:rsidP="004537C5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</w:rPr>
      </w:pPr>
      <w:r w:rsidRPr="00D641C7">
        <w:rPr>
          <w:rFonts w:ascii="Arial" w:hAnsi="Arial" w:cs="Arial"/>
          <w:b w:val="0"/>
          <w:i w:val="0"/>
          <w:sz w:val="22"/>
          <w:szCs w:val="22"/>
          <w:lang w:val="ru"/>
        </w:rPr>
        <w:t>-</w:t>
      </w:r>
      <w:r w:rsidRPr="00D641C7">
        <w:rPr>
          <w:rFonts w:ascii="Arial" w:hAnsi="Arial" w:cs="Arial"/>
          <w:b w:val="0"/>
          <w:i w:val="0"/>
          <w:sz w:val="22"/>
          <w:szCs w:val="22"/>
        </w:rPr>
        <w:t xml:space="preserve"> Пусконаладочные работы.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bookmarkStart w:id="0" w:name="bookmark3"/>
      <w:r w:rsidRPr="00D641C7">
        <w:rPr>
          <w:rFonts w:ascii="Arial" w:hAnsi="Arial" w:cs="Arial"/>
          <w:sz w:val="22"/>
          <w:szCs w:val="22"/>
        </w:rPr>
        <w:t>5.2</w:t>
      </w:r>
      <w:r w:rsidRPr="00D641C7">
        <w:rPr>
          <w:rFonts w:ascii="Arial" w:hAnsi="Arial" w:cs="Arial"/>
          <w:color w:val="auto"/>
          <w:sz w:val="22"/>
          <w:szCs w:val="22"/>
        </w:rPr>
        <w:t xml:space="preserve">.  Стоимость работ настоящего ТЗ определяется участником процедуры путем применения к сметам  Заказчика </w:t>
      </w: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, составленным  по справочнику 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«Базовых цен на работы по ремонту энергетического оборудования, адекватные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условиям функционирования конкурентного рынка услуг по ремонту и техперевооружению»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- индекса перевода в текущую стоимость: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- доплат к базовой цене за выполнение работ в тяжелых, особо тяжелых, вредных и особо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вредных условиях труда (в случае превышения доплаты более 4%, необходимо дополнительное документальное обоснование);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Сметная документация должна содержать все планируемые Подрядчиком расходы, включая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материалы, механизмы, транспортные, заготовительно-складские и командировочные расходы.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Окончательные расчеты за командировочные расходы будут производиться Заказчиком по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фактическим затратам Подрядчика на основании документов, подтверждающих указанные затраты, но не более суммы определенной в сметной документации, являющейся приложением к Договору.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Заказчик не принимает на себя обязательства по обеспечению жильем командированного персонала Подрядчика.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В случае, если участнику необходимо уточнить состав работ по данному ТЗ, участник вправе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направить запрос на уточнение информации.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Сметная документация должна быть представлена в электронном виде в форматах Excel (.xls,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либо xlsx)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>Стоимость материалов, предоставляемых Подрядчиком и используемых им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sz w:val="22"/>
          <w:szCs w:val="22"/>
          <w:lang w:eastAsia="en-US"/>
        </w:rPr>
        <w:t xml:space="preserve">для выполнения работ, необходимо предоставить в </w:t>
      </w:r>
      <w:r w:rsidRPr="00D641C7">
        <w:rPr>
          <w:rFonts w:ascii="Arial" w:hAnsi="Arial" w:cs="Arial"/>
          <w:sz w:val="22"/>
          <w:szCs w:val="22"/>
        </w:rPr>
        <w:t>расшифрованном виде по номенклатуре, с указанием стоимости МТР и сроками их предоставления.</w:t>
      </w:r>
    </w:p>
    <w:p w:rsidR="004537C5" w:rsidRPr="00D641C7" w:rsidRDefault="004537C5" w:rsidP="004537C5">
      <w:pPr>
        <w:pStyle w:val="70"/>
        <w:tabs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Заказчик оставляет за собой право корректировать объемы работ, сроки их выполнения перечень и объемы материалов исходя из фактического состояния оборудования (объекта модернизации), по результатам дефектации.</w:t>
      </w:r>
    </w:p>
    <w:p w:rsidR="004537C5" w:rsidRPr="00D641C7" w:rsidRDefault="004537C5" w:rsidP="004537C5">
      <w:pPr>
        <w:spacing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>5.3 Доставка на филиал материалов, закупаемых Подрядчиком, производится за 20 суток до начала работ.</w:t>
      </w:r>
    </w:p>
    <w:p w:rsidR="004537C5" w:rsidRDefault="004537C5" w:rsidP="004537C5">
      <w:pPr>
        <w:spacing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</w:p>
    <w:p w:rsidR="004537C5" w:rsidRDefault="004537C5" w:rsidP="004537C5">
      <w:pPr>
        <w:spacing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</w:p>
    <w:p w:rsidR="004537C5" w:rsidRPr="00D641C7" w:rsidRDefault="004537C5" w:rsidP="004537C5">
      <w:pPr>
        <w:spacing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6. Требования к Подрядчику.</w:t>
      </w:r>
      <w:bookmarkStart w:id="1" w:name="bookmark4"/>
      <w:bookmarkEnd w:id="0"/>
    </w:p>
    <w:p w:rsidR="004537C5" w:rsidRPr="00D641C7" w:rsidRDefault="004537C5" w:rsidP="004537C5">
      <w:pPr>
        <w:pStyle w:val="70"/>
        <w:tabs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6.1. Обязательные требования.</w:t>
      </w:r>
    </w:p>
    <w:p w:rsidR="004537C5" w:rsidRPr="00D641C7" w:rsidRDefault="004537C5" w:rsidP="004537C5">
      <w:pPr>
        <w:pStyle w:val="a4"/>
        <w:numPr>
          <w:ilvl w:val="2"/>
          <w:numId w:val="1"/>
        </w:numPr>
        <w:spacing w:line="276" w:lineRule="auto"/>
        <w:ind w:left="0" w:firstLine="0"/>
        <w:contextualSpacing w:val="0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>Работы должны выполняться специализированными организациями, располагающими техническими средствами, необходимыми для качественного выполнения Работ, испытания должны проводиться специализированными лабораториями, имеющими лицензии на право проведения испытаний, указанных в настоящем ТЗ.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6.1.2. Наличие у Подрядчика опыта производства аналогичных работ, подтверждаемого справкой о выполнении подобных по характеру и объемам работ на объектах электроэнергетики и аналогичном оборудовании не менее 5-ти лет.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bCs/>
          <w:color w:val="auto"/>
          <w:sz w:val="22"/>
          <w:szCs w:val="20"/>
          <w:lang w:eastAsia="en-US"/>
        </w:rPr>
        <w:t>6.1.3.</w:t>
      </w:r>
      <w:r w:rsidRPr="00D641C7">
        <w:rPr>
          <w:rFonts w:ascii="Arial" w:eastAsiaTheme="minorHAnsi" w:hAnsi="Arial" w:cs="Arial"/>
          <w:b/>
          <w:bCs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Соответствие Подрядчика обязательным требованиям в области</w:t>
      </w:r>
    </w:p>
    <w:p w:rsidR="004537C5" w:rsidRPr="00D641C7" w:rsidRDefault="004537C5" w:rsidP="004537C5">
      <w:pPr>
        <w:spacing w:line="276" w:lineRule="auto"/>
        <w:jc w:val="both"/>
        <w:rPr>
          <w:rFonts w:ascii="Arial" w:eastAsia="Verdana" w:hAnsi="Arial" w:cs="Arial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охраны труда, указанным в приложении № 1 к техническому заданию.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 xml:space="preserve">6.1.4.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 xml:space="preserve">Наличие у </w:t>
      </w:r>
      <w:r w:rsidRPr="00D641C7">
        <w:rPr>
          <w:rFonts w:ascii="Arial" w:eastAsiaTheme="minorHAnsi" w:hAnsi="Arial" w:cs="Arial"/>
          <w:iCs/>
          <w:sz w:val="22"/>
          <w:szCs w:val="20"/>
          <w:lang w:eastAsia="en-US"/>
        </w:rPr>
        <w:t xml:space="preserve">Подрядчика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>достаточного количества квалифицированного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="Verdana" w:hAnsi="Arial" w:cs="Arial"/>
          <w:spacing w:val="-10"/>
          <w:szCs w:val="22"/>
        </w:rPr>
      </w:pPr>
      <w:r w:rsidRPr="00D641C7">
        <w:rPr>
          <w:rFonts w:ascii="Arial" w:eastAsiaTheme="minorHAnsi" w:hAnsi="Arial" w:cs="Arial"/>
          <w:sz w:val="22"/>
          <w:szCs w:val="20"/>
          <w:lang w:eastAsia="en-US"/>
        </w:rPr>
        <w:t>персонала для выполнения всех работ по настоящему техническому заданию.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>6.1.5.</w:t>
      </w:r>
      <w:r w:rsidRPr="00D641C7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Наличие у Подрядчика оснастки, средств малой механизации, лесов</w:t>
      </w:r>
      <w:r w:rsidRPr="00D641C7">
        <w:rPr>
          <w:rFonts w:ascii="Arial" w:eastAsia="Verdana-BoldItalic" w:hAnsi="Arial" w:cs="Arial"/>
          <w:b/>
          <w:bCs/>
          <w:iCs/>
          <w:color w:val="auto"/>
          <w:sz w:val="22"/>
          <w:szCs w:val="20"/>
          <w:lang w:eastAsia="en-US"/>
        </w:rPr>
        <w:t xml:space="preserve">,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электро и пневмоинструмента, приспособлений и т.п., необходимых для выполнения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Работ, за исключением стационарных грузоподъемных машин и механизмов,</w:t>
      </w:r>
    </w:p>
    <w:p w:rsidR="004537C5" w:rsidRPr="00D641C7" w:rsidRDefault="004537C5" w:rsidP="004537C5">
      <w:pPr>
        <w:pStyle w:val="70"/>
        <w:tabs>
          <w:tab w:val="left" w:pos="142"/>
          <w:tab w:val="left" w:pos="56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0"/>
        </w:rPr>
      </w:pPr>
      <w:r w:rsidRPr="00D641C7">
        <w:rPr>
          <w:rFonts w:ascii="Arial" w:hAnsi="Arial" w:cs="Arial"/>
          <w:sz w:val="22"/>
          <w:szCs w:val="20"/>
        </w:rPr>
        <w:t>установленных на объектах проведения работ и предоставляемых Заказчиком.</w:t>
      </w:r>
      <w:r w:rsidRPr="00D641C7">
        <w:rPr>
          <w:rFonts w:ascii="Arial" w:hAnsi="Arial" w:cs="Arial"/>
          <w:sz w:val="22"/>
          <w:szCs w:val="22"/>
        </w:rPr>
        <w:t xml:space="preserve"> 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>6.1.6.</w:t>
      </w:r>
      <w:r w:rsidRPr="00D641C7">
        <w:rPr>
          <w:rFonts w:ascii="Arial" w:hAnsi="Arial" w:cs="Arial"/>
          <w:sz w:val="22"/>
          <w:szCs w:val="22"/>
        </w:rPr>
        <w:tab/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Подрядчик обязан выполнить работу собственными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lastRenderedPageBreak/>
        <w:t>силами или с привлечением третьих лиц (Субподрядной организаций), только с письменного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согласия Заказчика. В случае привлечения субподрядных организаций, Подрядчик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обязан предоставить документы привлекаемых субподрядных организаций в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объёме, аналогично предъявляемым к основному Подрядчику, на этапе</w:t>
      </w:r>
    </w:p>
    <w:p w:rsidR="004537C5" w:rsidRPr="00D641C7" w:rsidRDefault="004537C5" w:rsidP="004537C5">
      <w:pPr>
        <w:spacing w:line="276" w:lineRule="auto"/>
        <w:jc w:val="both"/>
        <w:rPr>
          <w:rFonts w:ascii="Arial" w:eastAsia="Verdana" w:hAnsi="Arial" w:cs="Arial"/>
          <w:b/>
          <w:spacing w:val="-10"/>
          <w:sz w:val="22"/>
          <w:szCs w:val="22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проведения закупочной процедуры.</w:t>
      </w:r>
      <w:r w:rsidRPr="00D641C7">
        <w:rPr>
          <w:rFonts w:ascii="Arial" w:eastAsia="Verdana" w:hAnsi="Arial" w:cs="Arial"/>
          <w:spacing w:val="-10"/>
          <w:sz w:val="22"/>
          <w:szCs w:val="22"/>
        </w:rPr>
        <w:t xml:space="preserve"> 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404"/>
        </w:tabs>
        <w:spacing w:after="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:rsidR="004537C5" w:rsidRPr="00D641C7" w:rsidRDefault="004537C5" w:rsidP="004537C5">
      <w:pPr>
        <w:pStyle w:val="420"/>
        <w:keepNext/>
        <w:keepLines/>
        <w:numPr>
          <w:ilvl w:val="1"/>
          <w:numId w:val="3"/>
        </w:numPr>
        <w:shd w:val="clear" w:color="auto" w:fill="auto"/>
        <w:tabs>
          <w:tab w:val="left" w:pos="426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color w:val="000000" w:themeColor="text1"/>
          <w:sz w:val="22"/>
          <w:szCs w:val="22"/>
        </w:rPr>
        <w:t>Желательные требования:</w:t>
      </w:r>
    </w:p>
    <w:p w:rsidR="004537C5" w:rsidRPr="00D641C7" w:rsidRDefault="004537C5" w:rsidP="004537C5">
      <w:pPr>
        <w:pStyle w:val="70"/>
        <w:tabs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color w:val="000000" w:themeColor="text1"/>
          <w:sz w:val="22"/>
          <w:szCs w:val="22"/>
        </w:rPr>
        <w:t xml:space="preserve">6.2.1 </w:t>
      </w:r>
      <w:r w:rsidRPr="00D641C7">
        <w:rPr>
          <w:rFonts w:ascii="Arial" w:hAnsi="Arial" w:cs="Arial"/>
          <w:sz w:val="22"/>
          <w:szCs w:val="22"/>
        </w:rPr>
        <w:t>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правом выполнения работ в отношении особо опасных, технически сложных или уникальных объектов, с 1 уровнем ответственности и выше.</w:t>
      </w:r>
    </w:p>
    <w:p w:rsidR="004537C5" w:rsidRPr="00D641C7" w:rsidRDefault="004537C5" w:rsidP="004537C5">
      <w:pPr>
        <w:pStyle w:val="420"/>
        <w:keepNext/>
        <w:keepLines/>
        <w:shd w:val="clear" w:color="auto" w:fill="auto"/>
        <w:tabs>
          <w:tab w:val="left" w:pos="0"/>
        </w:tabs>
        <w:spacing w:before="0" w:after="0" w:line="276" w:lineRule="auto"/>
        <w:ind w:firstLine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b w:val="0"/>
          <w:sz w:val="22"/>
          <w:szCs w:val="22"/>
        </w:rPr>
        <w:t>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Ростехнадзора от 16.02.2017 №58.</w:t>
      </w:r>
    </w:p>
    <w:p w:rsidR="004537C5" w:rsidRPr="00D641C7" w:rsidRDefault="004537C5" w:rsidP="004537C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hAnsi="Arial" w:cs="Arial"/>
          <w:color w:val="000000" w:themeColor="text1"/>
          <w:sz w:val="22"/>
          <w:szCs w:val="22"/>
        </w:rPr>
        <w:t xml:space="preserve">6.2.2 </w:t>
      </w: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Наличие у Подрядчика системы менеджмента качества,</w:t>
      </w:r>
    </w:p>
    <w:p w:rsidR="004537C5" w:rsidRPr="00D641C7" w:rsidRDefault="004537C5" w:rsidP="004537C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соответствующей требованиям стандарта ISO 9001:2015 (подтверждается</w:t>
      </w:r>
    </w:p>
    <w:p w:rsidR="004537C5" w:rsidRPr="00D641C7" w:rsidRDefault="004537C5" w:rsidP="004537C5">
      <w:pPr>
        <w:pStyle w:val="a4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before="60" w:line="276" w:lineRule="auto"/>
        <w:ind w:left="0"/>
        <w:jc w:val="both"/>
        <w:textAlignment w:val="baseline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сертификатом).</w:t>
      </w:r>
    </w:p>
    <w:p w:rsidR="004537C5" w:rsidRPr="00D641C7" w:rsidRDefault="004537C5" w:rsidP="004537C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 xml:space="preserve">6.2.3. </w:t>
      </w: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Наличие у Подрядчика материально-технической базы в районе</w:t>
      </w:r>
    </w:p>
    <w:p w:rsidR="004537C5" w:rsidRPr="00D641C7" w:rsidRDefault="004537C5" w:rsidP="004537C5">
      <w:pPr>
        <w:pStyle w:val="a4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before="60" w:line="276" w:lineRule="auto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выполнения работ.</w:t>
      </w:r>
    </w:p>
    <w:p w:rsidR="004537C5" w:rsidRPr="00D641C7" w:rsidRDefault="004537C5" w:rsidP="004537C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hAnsi="Arial" w:cs="Arial"/>
          <w:sz w:val="22"/>
          <w:szCs w:val="22"/>
        </w:rPr>
        <w:t xml:space="preserve">6.2.4. </w:t>
      </w: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Соответствие Подрядчика желательным требованиям в области</w:t>
      </w:r>
    </w:p>
    <w:p w:rsidR="004537C5" w:rsidRPr="00D641C7" w:rsidRDefault="004537C5" w:rsidP="004537C5">
      <w:pPr>
        <w:pStyle w:val="6"/>
        <w:tabs>
          <w:tab w:val="left" w:pos="4678"/>
          <w:tab w:val="left" w:pos="5103"/>
        </w:tabs>
        <w:spacing w:line="276" w:lineRule="auto"/>
        <w:ind w:firstLine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охраны труда, указанным в приложении № 1 к техническому заданию.</w:t>
      </w:r>
    </w:p>
    <w:p w:rsidR="004537C5" w:rsidRPr="00D641C7" w:rsidRDefault="004537C5" w:rsidP="004537C5">
      <w:pPr>
        <w:tabs>
          <w:tab w:val="left" w:pos="4678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 xml:space="preserve">6.2.5. 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Наличие у Подрядчика положительных референций о выполнении</w:t>
      </w:r>
    </w:p>
    <w:p w:rsidR="004537C5" w:rsidRPr="00D641C7" w:rsidRDefault="004537C5" w:rsidP="004537C5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аналогичных работ за последние три года.</w:t>
      </w:r>
    </w:p>
    <w:p w:rsidR="004537C5" w:rsidRPr="00D641C7" w:rsidRDefault="004537C5" w:rsidP="004537C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6.1.6. Желательно до подачи технико-коммерческого предложения Подрядчику прибыть на</w:t>
      </w:r>
    </w:p>
    <w:p w:rsidR="004537C5" w:rsidRPr="00D641C7" w:rsidRDefault="004537C5" w:rsidP="004537C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станцию для предварительного осмотра объекта и места производства работ, уточнения условий производства работ и урегулирования возникающих вопросов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.</w:t>
      </w:r>
    </w:p>
    <w:p w:rsidR="004537C5" w:rsidRDefault="004537C5" w:rsidP="004537C5">
      <w:pPr>
        <w:pStyle w:val="6"/>
        <w:shd w:val="clear" w:color="auto" w:fill="auto"/>
        <w:tabs>
          <w:tab w:val="left" w:pos="404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404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pStyle w:val="70"/>
        <w:numPr>
          <w:ilvl w:val="0"/>
          <w:numId w:val="1"/>
        </w:numPr>
        <w:shd w:val="clear" w:color="auto" w:fill="auto"/>
        <w:tabs>
          <w:tab w:val="left" w:pos="0"/>
          <w:tab w:val="left" w:pos="284"/>
          <w:tab w:val="right" w:pos="9781"/>
        </w:tabs>
        <w:spacing w:before="0" w:after="0" w:line="276" w:lineRule="auto"/>
        <w:ind w:left="0" w:right="57" w:firstLine="0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Требования к выполнению Работ</w:t>
      </w:r>
      <w:bookmarkEnd w:id="1"/>
      <w:r w:rsidRPr="00D641C7">
        <w:rPr>
          <w:rFonts w:ascii="Arial" w:hAnsi="Arial" w:cs="Arial"/>
          <w:b/>
          <w:sz w:val="22"/>
          <w:szCs w:val="22"/>
        </w:rPr>
        <w:t>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 xml:space="preserve">7.1.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Подрядчик обязан выполнять работы с соблюдением</w:t>
      </w:r>
    </w:p>
    <w:p w:rsidR="004537C5" w:rsidRPr="00D641C7" w:rsidRDefault="004537C5" w:rsidP="004537C5">
      <w:pPr>
        <w:pStyle w:val="70"/>
        <w:shd w:val="clear" w:color="auto" w:fill="auto"/>
        <w:tabs>
          <w:tab w:val="left" w:pos="0"/>
          <w:tab w:val="left" w:pos="284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b/>
          <w:sz w:val="24"/>
          <w:szCs w:val="22"/>
        </w:rPr>
      </w:pPr>
      <w:r w:rsidRPr="00D641C7">
        <w:rPr>
          <w:rFonts w:ascii="Arial" w:hAnsi="Arial" w:cs="Arial"/>
          <w:sz w:val="22"/>
          <w:szCs w:val="20"/>
        </w:rPr>
        <w:t>требований в области охраны труда, определенных в приложении № 1 п.2 к техническому заданию.</w:t>
      </w:r>
    </w:p>
    <w:p w:rsidR="004537C5" w:rsidRPr="00D641C7" w:rsidRDefault="004537C5" w:rsidP="004537C5">
      <w:pPr>
        <w:pStyle w:val="80"/>
        <w:numPr>
          <w:ilvl w:val="1"/>
          <w:numId w:val="5"/>
        </w:numPr>
        <w:shd w:val="clear" w:color="auto" w:fill="auto"/>
        <w:tabs>
          <w:tab w:val="left" w:pos="426"/>
        </w:tabs>
        <w:spacing w:before="0" w:line="276" w:lineRule="auto"/>
        <w:ind w:left="0"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Style w:val="81"/>
          <w:rFonts w:ascii="Arial" w:hAnsi="Arial" w:cs="Arial"/>
          <w:color w:val="000000" w:themeColor="text1"/>
          <w:sz w:val="22"/>
          <w:szCs w:val="22"/>
        </w:rPr>
        <w:t xml:space="preserve">Подрядчик обязан </w:t>
      </w: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>выполнить работы</w:t>
      </w:r>
      <w:r w:rsidRPr="00D641C7">
        <w:rPr>
          <w:rStyle w:val="81"/>
          <w:rFonts w:ascii="Arial" w:hAnsi="Arial" w:cs="Arial"/>
          <w:color w:val="000000" w:themeColor="text1"/>
          <w:sz w:val="22"/>
          <w:szCs w:val="22"/>
        </w:rPr>
        <w:t xml:space="preserve"> в соответствии с техническим заданием,</w:t>
      </w: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техническими условими ТУ34-38, заводскими инструкциями, ремонтными формулярами (паспорт монтажных зазоров ТГВ-200М ОТХ.468.652), чертежами и проектом производства работ (ППР), подготовленным Подрядчиком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работ. 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 xml:space="preserve">7.3.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 xml:space="preserve">До начала выполнения Работ 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Подрядчик: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sym w:font="Symbol" w:char="F0B7"/>
      </w: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определяет состав бригад по численности, квалификации и профессиям в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соответствии с объемами работ. При этом должна быть обеспечена полная занятость рабочих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в течение установленных графиком сроков производства работ;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sym w:font="Symbol" w:char="F0B7"/>
      </w: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назначает руководителя работ (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 xml:space="preserve">по исполнению договора в технической его части)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в соответствии с объемом работ;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sym w:font="Symbol" w:char="F0B7"/>
      </w: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назначает лиц, ответственных за охрану труда и материально-техническое обеспечение.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sym w:font="Symbol" w:char="F0B7"/>
      </w:r>
      <w:r w:rsidRPr="00D641C7">
        <w:rPr>
          <w:rFonts w:ascii="Arial" w:eastAsia="SymbolMT" w:hAnsi="Arial" w:cs="Arial"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разрабатывает и предоставляет Заказчику на утверждение детальный календарный</w:t>
      </w:r>
    </w:p>
    <w:p w:rsidR="004537C5" w:rsidRPr="00D641C7" w:rsidRDefault="004537C5" w:rsidP="004537C5">
      <w:pPr>
        <w:pStyle w:val="a4"/>
        <w:tabs>
          <w:tab w:val="left" w:pos="993"/>
        </w:tabs>
        <w:spacing w:line="276" w:lineRule="auto"/>
        <w:ind w:left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 xml:space="preserve">(сетевой/линейный) график 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производства работ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sz w:val="22"/>
          <w:szCs w:val="20"/>
          <w:lang w:eastAsia="en-US"/>
        </w:rPr>
        <w:t>7.4.</w:t>
      </w:r>
      <w:r w:rsidRPr="00D641C7">
        <w:rPr>
          <w:rFonts w:ascii="Arial" w:eastAsiaTheme="minorHAnsi" w:hAnsi="Arial" w:cs="Arial"/>
          <w:i/>
          <w:iCs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>Средства измерений, применяемые Исполнителем при выполнении работ, должны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sz w:val="22"/>
          <w:szCs w:val="20"/>
          <w:lang w:eastAsia="en-US"/>
        </w:rPr>
        <w:t xml:space="preserve">соответствовать требованиям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 xml:space="preserve">ГОСТ Р 8.674-2009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 xml:space="preserve">«Государственная система обеспечения единства измерений. Общие требования к средствам измерений и техническим системам, и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lastRenderedPageBreak/>
        <w:t xml:space="preserve">устройствам с измерительными функциями», утвержденного и введенного в действие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Приказом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 xml:space="preserve"> Ростехрегулирования от 15.12.2009 № 1105-ст.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sz w:val="22"/>
          <w:szCs w:val="20"/>
          <w:lang w:eastAsia="en-US"/>
        </w:rPr>
        <w:t>7.5</w:t>
      </w:r>
      <w:r w:rsidRPr="00D641C7">
        <w:rPr>
          <w:rFonts w:ascii="Arial" w:eastAsiaTheme="minorHAnsi" w:hAnsi="Arial" w:cs="Arial"/>
          <w:i/>
          <w:iCs/>
          <w:sz w:val="22"/>
          <w:szCs w:val="20"/>
          <w:lang w:eastAsia="en-US"/>
        </w:rPr>
        <w:t xml:space="preserve">.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>Применяемые при выполнении ремонтных работ средства измерений должны быть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sz w:val="22"/>
          <w:szCs w:val="20"/>
          <w:lang w:eastAsia="en-US"/>
        </w:rPr>
        <w:t>внесены в Федеральный информационный фонд по обеспечению единства измерений, созданный во исполнение Федерального закона № 102-ФЗ от 26.06.2008 «Об обеспечении единства измерений», иметь действующий паспорт и свидетельство о поверке или калибровке.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sz w:val="22"/>
          <w:szCs w:val="20"/>
          <w:lang w:eastAsia="en-US"/>
        </w:rPr>
        <w:t xml:space="preserve">7.6.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>Подрядчик обязан выполнять работы экологически безопасными способами, не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sz w:val="22"/>
          <w:szCs w:val="20"/>
          <w:lang w:eastAsia="en-US"/>
        </w:rPr>
        <w:t>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sz w:val="22"/>
          <w:szCs w:val="20"/>
          <w:lang w:eastAsia="en-US"/>
        </w:rPr>
        <w:t xml:space="preserve">7.7. 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>При прохождении вводного инструктажа по безопасности труда на территории Заказчика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sz w:val="22"/>
          <w:szCs w:val="20"/>
          <w:lang w:eastAsia="en-US"/>
        </w:rPr>
        <w:t>персонал Подрядчика должен предоставить удостоверения по проверки знаний с отметкой,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sz w:val="22"/>
          <w:szCs w:val="20"/>
          <w:lang w:eastAsia="en-US"/>
        </w:rPr>
        <w:t>заверенной печатью, о годности к проведению работ по результатам медицинского осмотра.</w:t>
      </w:r>
    </w:p>
    <w:p w:rsidR="004537C5" w:rsidRDefault="004537C5" w:rsidP="004537C5">
      <w:pPr>
        <w:pStyle w:val="70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2"/>
        </w:rPr>
      </w:pPr>
    </w:p>
    <w:p w:rsidR="004537C5" w:rsidRPr="00D641C7" w:rsidRDefault="004537C5" w:rsidP="004537C5">
      <w:pPr>
        <w:pStyle w:val="70"/>
        <w:spacing w:before="0" w:after="0" w:line="276" w:lineRule="auto"/>
        <w:ind w:firstLine="0"/>
        <w:jc w:val="both"/>
        <w:rPr>
          <w:rFonts w:ascii="Arial" w:hAnsi="Arial" w:cs="Arial"/>
          <w:b/>
          <w:sz w:val="24"/>
          <w:szCs w:val="22"/>
        </w:rPr>
      </w:pPr>
    </w:p>
    <w:p w:rsidR="004537C5" w:rsidRPr="00D641C7" w:rsidRDefault="004537C5" w:rsidP="004537C5">
      <w:pPr>
        <w:pStyle w:val="70"/>
        <w:numPr>
          <w:ilvl w:val="0"/>
          <w:numId w:val="5"/>
        </w:numPr>
        <w:shd w:val="clear" w:color="auto" w:fill="auto"/>
        <w:tabs>
          <w:tab w:val="left" w:pos="567"/>
          <w:tab w:val="left" w:pos="786"/>
          <w:tab w:val="right" w:pos="9356"/>
        </w:tabs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bCs/>
          <w:sz w:val="22"/>
          <w:szCs w:val="22"/>
        </w:rPr>
        <w:t>Требования к предоставляемым материалам и запасным частям.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bookmarkStart w:id="2" w:name="bookmark5"/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 xml:space="preserve">8.1. </w:t>
      </w: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Работы в объеме технического задания выполняются с применением запасных частей 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материалов, предоставляемых Подрядчиком. Перечень запасных частей и материалов, предоставляемых Подрядчиком, с указанием видов, методов верификации и участия представителей Заказчика в комиссии по входному контролю МТР, указан в приложении № 3 к ТЗ.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 xml:space="preserve">      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 Оборудование должно сертифицироваться в соответствии с Техническим регламентом Таможенного союза «О безопасности машин и оборудования» (ТР ТС 010/2011 от 18.11.2011).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 xml:space="preserve">8.2. </w:t>
      </w: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В период проведения закупочной процедуры Участник предоставляет ведомость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поставляемых МТР с указанием их стоимости и сроков предоставления.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 xml:space="preserve">8.3. </w:t>
      </w: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Материалы и запасные части, предоставляемые Подрядчиком, Подрядчик приобретает самостоятельно за счет своих средств. Подрядчик осуществляет доставку материалов, комплектующих изделий до места выполнения работ своими силами и за свой счет. Материалы и запасные части, предоставляемые Подрядчиком должны быть новыми, не бывшими в употреблении. 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Поставляемое Подрядчиком оборудование должно быть не старше 1-го года. В любом случае,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использование любых МТР допускается только по результатам входного контроля с участием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2"/>
          <w:lang w:eastAsia="en-US"/>
        </w:rPr>
        <w:t>Заказчика с оформлением таких результатов актом или в журнале входного контроля.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>8.4.</w:t>
      </w:r>
      <w:r w:rsidRPr="00D641C7">
        <w:rPr>
          <w:rFonts w:ascii="Arial" w:eastAsiaTheme="minorHAnsi" w:hAnsi="Arial" w:cs="Arial"/>
          <w:i/>
          <w:iCs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4537C5" w:rsidRDefault="004537C5" w:rsidP="004537C5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pStyle w:val="70"/>
        <w:numPr>
          <w:ilvl w:val="0"/>
          <w:numId w:val="5"/>
        </w:numPr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b/>
          <w:sz w:val="22"/>
          <w:szCs w:val="22"/>
        </w:rPr>
        <w:t>Этапы и сроки выполнения Работ.</w:t>
      </w:r>
      <w:bookmarkEnd w:id="2"/>
    </w:p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D641C7">
        <w:rPr>
          <w:rFonts w:ascii="Arial" w:hAnsi="Arial" w:cs="Arial"/>
          <w:b w:val="0"/>
          <w:bCs/>
          <w:sz w:val="22"/>
          <w:szCs w:val="22"/>
        </w:rPr>
        <w:t>9.1. Сроки проведения работ:</w:t>
      </w:r>
    </w:p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D641C7">
        <w:rPr>
          <w:rFonts w:ascii="Arial" w:hAnsi="Arial" w:cs="Arial"/>
          <w:b w:val="0"/>
          <w:bCs/>
          <w:sz w:val="22"/>
          <w:szCs w:val="22"/>
        </w:rPr>
        <w:t>Срок поставки материалов на филиал Смоленская ГРЭС до «</w:t>
      </w:r>
      <w:r>
        <w:rPr>
          <w:rFonts w:ascii="Arial" w:hAnsi="Arial" w:cs="Arial"/>
          <w:b w:val="0"/>
          <w:bCs/>
          <w:sz w:val="22"/>
          <w:szCs w:val="22"/>
        </w:rPr>
        <w:t>15</w:t>
      </w:r>
      <w:r w:rsidRPr="00D641C7">
        <w:rPr>
          <w:rFonts w:ascii="Arial" w:hAnsi="Arial" w:cs="Arial"/>
          <w:b w:val="0"/>
          <w:bCs/>
          <w:sz w:val="22"/>
          <w:szCs w:val="22"/>
        </w:rPr>
        <w:t xml:space="preserve">» </w:t>
      </w:r>
      <w:r w:rsidRPr="00D641C7">
        <w:rPr>
          <w:rFonts w:ascii="Arial" w:hAnsi="Arial" w:cs="Arial"/>
          <w:b w:val="0"/>
          <w:bCs/>
          <w:sz w:val="22"/>
          <w:szCs w:val="22"/>
          <w:u w:val="single"/>
        </w:rPr>
        <w:t>ию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>л</w:t>
      </w:r>
      <w:r w:rsidRPr="00D641C7">
        <w:rPr>
          <w:rFonts w:ascii="Arial" w:hAnsi="Arial" w:cs="Arial"/>
          <w:b w:val="0"/>
          <w:bCs/>
          <w:sz w:val="22"/>
          <w:szCs w:val="22"/>
          <w:u w:val="single"/>
        </w:rPr>
        <w:t>я</w:t>
      </w:r>
      <w:r w:rsidRPr="00D641C7">
        <w:rPr>
          <w:rFonts w:ascii="Arial" w:hAnsi="Arial" w:cs="Arial"/>
          <w:b w:val="0"/>
          <w:bCs/>
          <w:sz w:val="22"/>
          <w:szCs w:val="22"/>
        </w:rPr>
        <w:t xml:space="preserve"> 2019г.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 xml:space="preserve">Срок начала выполнения 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 xml:space="preserve">работ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«</w:t>
      </w:r>
      <w:r w:rsidRPr="00D641C7">
        <w:rPr>
          <w:rFonts w:ascii="Arial" w:eastAsiaTheme="minorHAnsi" w:hAnsi="Arial" w:cs="Arial"/>
          <w:color w:val="auto"/>
          <w:sz w:val="22"/>
          <w:szCs w:val="20"/>
          <w:u w:val="single"/>
          <w:lang w:eastAsia="en-US"/>
        </w:rPr>
        <w:t>15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» ___</w:t>
      </w:r>
      <w:r w:rsidRPr="00D641C7">
        <w:rPr>
          <w:rFonts w:ascii="Arial" w:eastAsiaTheme="minorHAnsi" w:hAnsi="Arial" w:cs="Arial"/>
          <w:color w:val="auto"/>
          <w:sz w:val="22"/>
          <w:szCs w:val="20"/>
          <w:u w:val="single"/>
          <w:lang w:eastAsia="en-US"/>
        </w:rPr>
        <w:t>июля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___ 2019 года;</w:t>
      </w:r>
    </w:p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bCs/>
          <w:szCs w:val="22"/>
        </w:rPr>
      </w:pPr>
      <w:r w:rsidRPr="00D641C7">
        <w:rPr>
          <w:rFonts w:ascii="Arial" w:eastAsiaTheme="minorHAnsi" w:hAnsi="Arial" w:cs="Arial"/>
          <w:b w:val="0"/>
          <w:sz w:val="22"/>
          <w:szCs w:val="20"/>
          <w:lang w:eastAsia="en-US"/>
        </w:rPr>
        <w:t xml:space="preserve">Срок окончания выполнения </w:t>
      </w:r>
      <w:r w:rsidRPr="00D641C7">
        <w:rPr>
          <w:rFonts w:ascii="Arial" w:eastAsiaTheme="minorHAnsi" w:hAnsi="Arial" w:cs="Arial"/>
          <w:b w:val="0"/>
          <w:iCs/>
          <w:sz w:val="22"/>
          <w:szCs w:val="20"/>
          <w:lang w:eastAsia="en-US"/>
        </w:rPr>
        <w:t xml:space="preserve">работ </w:t>
      </w:r>
      <w:r w:rsidRPr="00D641C7">
        <w:rPr>
          <w:rFonts w:ascii="Arial" w:eastAsiaTheme="minorHAnsi" w:hAnsi="Arial" w:cs="Arial"/>
          <w:b w:val="0"/>
          <w:sz w:val="22"/>
          <w:szCs w:val="20"/>
          <w:lang w:eastAsia="en-US"/>
        </w:rPr>
        <w:t>«</w:t>
      </w:r>
      <w:r w:rsidRPr="00D641C7">
        <w:rPr>
          <w:rFonts w:ascii="Arial" w:eastAsiaTheme="minorHAnsi" w:hAnsi="Arial" w:cs="Arial"/>
          <w:b w:val="0"/>
          <w:sz w:val="22"/>
          <w:szCs w:val="20"/>
          <w:u w:val="single"/>
          <w:lang w:eastAsia="en-US"/>
        </w:rPr>
        <w:t>28</w:t>
      </w:r>
      <w:r w:rsidRPr="00D641C7">
        <w:rPr>
          <w:rFonts w:ascii="Arial" w:eastAsiaTheme="minorHAnsi" w:hAnsi="Arial" w:cs="Arial"/>
          <w:b w:val="0"/>
          <w:sz w:val="22"/>
          <w:szCs w:val="20"/>
          <w:lang w:eastAsia="en-US"/>
        </w:rPr>
        <w:t xml:space="preserve">»  </w:t>
      </w:r>
      <w:r w:rsidRPr="00D641C7">
        <w:rPr>
          <w:rFonts w:ascii="Arial" w:eastAsiaTheme="minorHAnsi" w:hAnsi="Arial" w:cs="Arial"/>
          <w:b w:val="0"/>
          <w:sz w:val="22"/>
          <w:szCs w:val="20"/>
          <w:u w:val="single"/>
          <w:lang w:eastAsia="en-US"/>
        </w:rPr>
        <w:t xml:space="preserve"> сентября</w:t>
      </w:r>
      <w:r w:rsidRPr="00D641C7">
        <w:rPr>
          <w:rFonts w:ascii="Arial" w:eastAsiaTheme="minorHAnsi" w:hAnsi="Arial" w:cs="Arial"/>
          <w:b w:val="0"/>
          <w:sz w:val="22"/>
          <w:szCs w:val="20"/>
          <w:lang w:eastAsia="en-US"/>
        </w:rPr>
        <w:t xml:space="preserve">  2019 года</w:t>
      </w:r>
      <w:r w:rsidRPr="00D641C7">
        <w:rPr>
          <w:rFonts w:ascii="Arial" w:eastAsiaTheme="minorHAnsi" w:hAnsi="Arial" w:cs="Arial"/>
          <w:sz w:val="22"/>
          <w:szCs w:val="20"/>
          <w:lang w:eastAsia="en-US"/>
        </w:rPr>
        <w:t>.</w:t>
      </w:r>
      <w:r w:rsidRPr="00D641C7">
        <w:rPr>
          <w:rFonts w:ascii="Arial" w:hAnsi="Arial" w:cs="Arial"/>
          <w:b w:val="0"/>
          <w:bCs/>
          <w:szCs w:val="22"/>
        </w:rPr>
        <w:t xml:space="preserve">  </w:t>
      </w:r>
    </w:p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bCs/>
          <w:szCs w:val="22"/>
        </w:rPr>
      </w:pPr>
    </w:p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bCs/>
          <w:sz w:val="22"/>
          <w:szCs w:val="22"/>
        </w:rPr>
        <w:t xml:space="preserve">Этапы: </w:t>
      </w:r>
    </w:p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7"/>
      </w:tblGrid>
      <w:tr w:rsidR="004537C5" w:rsidRPr="00D641C7" w:rsidTr="00D07142"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Наименование этапа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Срок</w:t>
            </w:r>
          </w:p>
        </w:tc>
      </w:tr>
      <w:tr w:rsidR="004537C5" w:rsidRPr="00D641C7" w:rsidTr="00D07142"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Доставка материалов, запасных частей Подрядчиком и проведение входного контроля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bCs/>
                <w:sz w:val="22"/>
                <w:szCs w:val="22"/>
              </w:rPr>
              <w:t>до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 xml:space="preserve"> «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» ию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л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я</w:t>
            </w:r>
          </w:p>
        </w:tc>
      </w:tr>
      <w:tr w:rsidR="004537C5" w:rsidRPr="00D641C7" w:rsidTr="00D07142"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Разборка турбогенератора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с 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 xml:space="preserve">«15» июля по «30» июля </w:t>
            </w:r>
          </w:p>
        </w:tc>
      </w:tr>
      <w:tr w:rsidR="004537C5" w:rsidRPr="00D641C7" w:rsidTr="00D07142"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Работы по модернизации статора; </w:t>
            </w:r>
          </w:p>
          <w:p w:rsidR="004537C5" w:rsidRPr="00D641C7" w:rsidRDefault="004537C5" w:rsidP="004537C5">
            <w:pPr>
              <w:pStyle w:val="90"/>
              <w:shd w:val="clear" w:color="auto" w:fill="auto"/>
              <w:tabs>
                <w:tab w:val="left" w:pos="363"/>
              </w:tabs>
              <w:spacing w:before="0" w:after="0" w:line="276" w:lineRule="auto"/>
              <w:ind w:firstLine="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Проверка исправности датчиков температурного контроля меди, железа, газа, дистиллята генератора с составлением протокола проверки</w:t>
            </w:r>
          </w:p>
          <w:p w:rsidR="004537C5" w:rsidRPr="00D641C7" w:rsidRDefault="004537C5" w:rsidP="004537C5">
            <w:pPr>
              <w:pStyle w:val="90"/>
              <w:shd w:val="clear" w:color="auto" w:fill="auto"/>
              <w:tabs>
                <w:tab w:val="left" w:pos="363"/>
              </w:tabs>
              <w:spacing w:before="0" w:after="0" w:line="276" w:lineRule="auto"/>
              <w:ind w:firstLine="0"/>
              <w:rPr>
                <w:rFonts w:ascii="Arial" w:hAnsi="Arial" w:cs="Arial"/>
                <w:b w:val="0"/>
                <w:sz w:val="22"/>
                <w:szCs w:val="22"/>
                <w:lang w:val="ru"/>
              </w:rPr>
            </w:pPr>
            <w:r w:rsidRPr="00D641C7">
              <w:rPr>
                <w:rFonts w:ascii="Arial" w:hAnsi="Arial" w:cs="Arial"/>
                <w:b w:val="0"/>
                <w:i w:val="0"/>
                <w:sz w:val="22"/>
                <w:szCs w:val="22"/>
              </w:rPr>
              <w:t>Восстановление работоспособности датчиков температурного контроля меди, железа, газа, дистиллята генератора.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с 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«30» июля по «06» сентября</w:t>
            </w:r>
          </w:p>
        </w:tc>
      </w:tr>
      <w:tr w:rsidR="004537C5" w:rsidRPr="00D641C7" w:rsidTr="00D07142"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Сборка турбогенератора, проведение испытаний.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С «06» сентября до 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«23» сентября</w:t>
            </w:r>
          </w:p>
        </w:tc>
      </w:tr>
      <w:tr w:rsidR="004537C5" w:rsidRPr="00D641C7" w:rsidTr="00D07142">
        <w:trPr>
          <w:trHeight w:val="417"/>
        </w:trPr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Пусконаладочные работы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с </w:t>
            </w: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«24» сентября по «27» сентября</w:t>
            </w:r>
          </w:p>
        </w:tc>
      </w:tr>
      <w:tr w:rsidR="004537C5" w:rsidRPr="00D641C7" w:rsidTr="00D07142">
        <w:trPr>
          <w:trHeight w:val="367"/>
        </w:trPr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Включение турбогенератора в сеть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 xml:space="preserve">«28» сентября </w:t>
            </w:r>
          </w:p>
        </w:tc>
      </w:tr>
      <w:tr w:rsidR="004537C5" w:rsidRPr="00D641C7" w:rsidTr="00D07142">
        <w:trPr>
          <w:trHeight w:val="103"/>
        </w:trPr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Подконтрольная эксплуатация турбогенератора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с «28» сентября по «27» октября</w:t>
            </w:r>
          </w:p>
        </w:tc>
      </w:tr>
      <w:tr w:rsidR="004537C5" w:rsidRPr="00D641C7" w:rsidTr="00D07142">
        <w:trPr>
          <w:trHeight w:val="379"/>
        </w:trPr>
        <w:tc>
          <w:tcPr>
            <w:tcW w:w="6771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Сдача-приемка турбогенератора в промышленную эксплуатацию</w:t>
            </w:r>
          </w:p>
        </w:tc>
        <w:tc>
          <w:tcPr>
            <w:tcW w:w="2517" w:type="dxa"/>
          </w:tcPr>
          <w:p w:rsidR="004537C5" w:rsidRPr="00D641C7" w:rsidRDefault="004537C5" w:rsidP="004537C5">
            <w:pPr>
              <w:pStyle w:val="a6"/>
              <w:tabs>
                <w:tab w:val="clear" w:pos="0"/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D641C7">
              <w:rPr>
                <w:rFonts w:ascii="Arial" w:hAnsi="Arial" w:cs="Arial"/>
                <w:b w:val="0"/>
                <w:sz w:val="22"/>
                <w:szCs w:val="22"/>
              </w:rPr>
              <w:t>«28» октября</w:t>
            </w:r>
          </w:p>
        </w:tc>
      </w:tr>
    </w:tbl>
    <w:p w:rsidR="004537C5" w:rsidRPr="00D641C7" w:rsidRDefault="004537C5" w:rsidP="004537C5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bCs/>
          <w:szCs w:val="22"/>
        </w:rPr>
      </w:pP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0"/>
          <w:lang w:eastAsia="en-US"/>
        </w:rPr>
      </w:pPr>
      <w:bookmarkStart w:id="3" w:name="bookmark6"/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 xml:space="preserve">9.2.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На этапе проведения закупочной процедуры в своем предложении Подрядчик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</w:pP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предоставляет разработанный укрупненный график выполнения Работ. Сроки начала и окончания работ не должны превышать сроков, указанных</w:t>
      </w:r>
      <w:r w:rsidRPr="00D641C7">
        <w:rPr>
          <w:rFonts w:ascii="Arial" w:eastAsiaTheme="minorHAnsi" w:hAnsi="Arial" w:cs="Arial"/>
          <w:iCs/>
          <w:color w:val="auto"/>
          <w:sz w:val="22"/>
          <w:szCs w:val="20"/>
          <w:lang w:eastAsia="en-US"/>
        </w:rPr>
        <w:t xml:space="preserve"> </w:t>
      </w:r>
      <w:r w:rsidRPr="00D641C7">
        <w:rPr>
          <w:rFonts w:ascii="Arial" w:eastAsiaTheme="minorHAnsi" w:hAnsi="Arial" w:cs="Arial"/>
          <w:color w:val="auto"/>
          <w:sz w:val="22"/>
          <w:szCs w:val="20"/>
          <w:lang w:eastAsia="en-US"/>
        </w:rPr>
        <w:t>в п. 9.1 ТЗ. По требованию Заказчика Подрядчик составляет детальный график проведения конкретных этапов выполнения работ.</w:t>
      </w:r>
    </w:p>
    <w:p w:rsidR="004537C5" w:rsidRDefault="004537C5" w:rsidP="004537C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D641C7">
        <w:rPr>
          <w:rFonts w:ascii="Arial" w:hAnsi="Arial" w:cs="Arial"/>
          <w:b/>
          <w:spacing w:val="0"/>
          <w:sz w:val="22"/>
          <w:szCs w:val="22"/>
        </w:rPr>
        <w:t>10. Требования к сдаче-приемке работ.</w:t>
      </w:r>
      <w:bookmarkEnd w:id="3"/>
    </w:p>
    <w:p w:rsidR="004537C5" w:rsidRPr="00D641C7" w:rsidRDefault="004537C5" w:rsidP="004537C5">
      <w:pPr>
        <w:pStyle w:val="21"/>
        <w:shd w:val="clear" w:color="auto" w:fill="auto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color w:val="000000" w:themeColor="text1"/>
          <w:sz w:val="22"/>
          <w:szCs w:val="22"/>
        </w:rPr>
        <w:t>10.1. Сдача работ должна осуществляться в соответствии со следующими нормативно</w:t>
      </w:r>
      <w:r w:rsidRPr="00D641C7">
        <w:rPr>
          <w:rFonts w:ascii="Arial" w:hAnsi="Arial" w:cs="Arial"/>
          <w:color w:val="000000" w:themeColor="text1"/>
          <w:sz w:val="22"/>
          <w:szCs w:val="22"/>
        </w:rPr>
        <w:softHyphen/>
        <w:t>-техническими документами:</w:t>
      </w:r>
    </w:p>
    <w:p w:rsidR="004537C5" w:rsidRPr="00D641C7" w:rsidRDefault="004537C5" w:rsidP="004537C5">
      <w:pPr>
        <w:tabs>
          <w:tab w:val="num" w:pos="851"/>
        </w:tabs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color w:val="000000" w:themeColor="text1"/>
          <w:sz w:val="22"/>
          <w:szCs w:val="22"/>
        </w:rPr>
        <w:t xml:space="preserve">-  </w:t>
      </w:r>
      <w:r w:rsidRPr="00D641C7">
        <w:rPr>
          <w:rFonts w:ascii="Arial" w:hAnsi="Arial" w:cs="Arial"/>
          <w:bCs/>
          <w:sz w:val="22"/>
          <w:szCs w:val="22"/>
        </w:rPr>
        <w:t>РД 34.20.401-83 «Правила приемки в эксплуатацию энергообъектов электростанции, электрических и тепловых сетей после технического перевооружения», ГОСТ 533-2000 (МЭК 34-3-88) Машины электрические вращающиеся. Турбогенераторы. Общие технические условия;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 xml:space="preserve">- </w:t>
      </w:r>
      <w:r w:rsidRPr="00D641C7">
        <w:rPr>
          <w:rFonts w:ascii="Arial" w:hAnsi="Arial" w:cs="Arial"/>
          <w:sz w:val="22"/>
          <w:szCs w:val="22"/>
        </w:rPr>
        <w:t>Правил организации технического обслуживания и ремонта оборудования, зданий и сооружений электростанций и сетей» утвержденных приказом Минэнерго России от 25.10.2017г. №1013</w:t>
      </w:r>
      <w:r w:rsidRPr="00D641C7">
        <w:rPr>
          <w:rFonts w:ascii="Arial" w:hAnsi="Arial" w:cs="Arial"/>
          <w:spacing w:val="0"/>
          <w:sz w:val="22"/>
          <w:szCs w:val="22"/>
        </w:rPr>
        <w:t>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iCs/>
          <w:sz w:val="22"/>
          <w:szCs w:val="20"/>
        </w:rPr>
      </w:pPr>
      <w:r w:rsidRPr="00D641C7">
        <w:rPr>
          <w:rFonts w:ascii="Arial" w:hAnsi="Arial" w:cs="Arial"/>
          <w:spacing w:val="0"/>
          <w:sz w:val="22"/>
          <w:szCs w:val="22"/>
        </w:rPr>
        <w:t xml:space="preserve">10.2. </w:t>
      </w:r>
      <w:r w:rsidRPr="00D641C7">
        <w:rPr>
          <w:rFonts w:ascii="Arial" w:hAnsi="Arial" w:cs="Arial"/>
          <w:iCs/>
          <w:sz w:val="22"/>
          <w:szCs w:val="20"/>
        </w:rPr>
        <w:t>Виды испытаний: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right" w:pos="9498"/>
        </w:tabs>
        <w:spacing w:after="0" w:line="312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 xml:space="preserve">До начала производства работ по модернизации турбогенератора Подрядчик разрабатывает и согласовывает с Заказчиком программы и объем испытаний и измерений в соответствии с 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РД 34.45-51.300-97 «Объем и нормы испытаний электрооборудования»: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- Испытания повышенным напряжением повышенной частоты;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- Испытание стали статора;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- Испытание газоохладителей гидравлическим давлением;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- Испытание на газоплотность ротора, статора, газомасляной системы в сборе.</w:t>
      </w:r>
    </w:p>
    <w:p w:rsidR="004537C5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ab/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jc w:val="both"/>
        <w:rPr>
          <w:rFonts w:ascii="Arial" w:hAnsi="Arial" w:cs="Arial"/>
          <w:b/>
          <w:sz w:val="22"/>
          <w:szCs w:val="22"/>
        </w:rPr>
      </w:pPr>
      <w:bookmarkStart w:id="4" w:name="bookmark7"/>
      <w:r w:rsidRPr="00D641C7">
        <w:rPr>
          <w:rFonts w:ascii="Arial" w:hAnsi="Arial" w:cs="Arial"/>
          <w:b/>
          <w:sz w:val="22"/>
          <w:szCs w:val="22"/>
        </w:rPr>
        <w:t>11. Документация, предъявляемая Заказчику.</w:t>
      </w:r>
      <w:bookmarkEnd w:id="4"/>
    </w:p>
    <w:p w:rsidR="004537C5" w:rsidRPr="00D641C7" w:rsidRDefault="004537C5" w:rsidP="004537C5">
      <w:pPr>
        <w:pStyle w:val="6"/>
        <w:shd w:val="clear" w:color="auto" w:fill="auto"/>
        <w:tabs>
          <w:tab w:val="left" w:pos="411"/>
        </w:tabs>
        <w:spacing w:after="0" w:line="288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11.1.  Проект производства работ (ППР).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11.2. Перечень организаций, участвовавших в производстве работ, фамилии ИТР, ответственных за выполнение этих работ.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11.3. Акт приёма-передачи оборудования и приспособлений Заказчиком Подрядчику.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11.4. Акт дефектации статора турбогенератора.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11.5. Акты дефектации сборочных узлов и единиц оборудования турбогенератора.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11.6. Протоколы испытаний и измерений турбогенератора.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11.7.Акты выполненных работ (клиновки, замены радиальных тяг, запечки и т.д.), установленной на филиале формы.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lastRenderedPageBreak/>
        <w:t>11.8. Формуляр монтажных зазоров по напорному компрессору.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11.9. Формуляр монтажных зазоров по осевому вентилятору.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11.10. Формуляр монтажных зазоров по щёткодержателю ЩКА.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11.11. Формуляр №6 «Зазоры в опорных подшипниках».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11.12. Карта замеров 4889 «Центровка роторов по полумуфтам».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11.13. Формуляр №38 «Проверка спаривания («маятника» и «коленчатости») муфт роторов».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11.14. Формуляры №8 «Зазоры по маслозащитным кольцам».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11.15. Эскиз и паспорт монтажных зазоров БТВ-300.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 xml:space="preserve">11.16. Сертификаты и технические паспорта на запасные части и материалы, поставляемые Подрядчиком. 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11.17. Карта пооперационного контроля ремонта масляных уплотнений генератора ТГВ-200М ст. №3.</w:t>
      </w:r>
    </w:p>
    <w:p w:rsidR="004537C5" w:rsidRPr="00D641C7" w:rsidRDefault="004537C5" w:rsidP="004537C5">
      <w:pPr>
        <w:pStyle w:val="6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11.18. Табель рабочего времени.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 xml:space="preserve">11.19. Акты входного контроля на запасные части и материалы, поставляемые Подрядчиком. 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11.20. Проект работ по замене радиальных тяг нижних стержней без подъема верхних стержней.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11.21. Протокол испытаний активной стали электромагнитным методом при кольцевом намагничивании сердечника с малой индукцией.</w:t>
      </w:r>
    </w:p>
    <w:p w:rsidR="004537C5" w:rsidRPr="00D641C7" w:rsidRDefault="004537C5" w:rsidP="004537C5">
      <w:pPr>
        <w:shd w:val="clear" w:color="auto" w:fill="FFFFFF"/>
        <w:tabs>
          <w:tab w:val="num" w:pos="851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bCs/>
          <w:sz w:val="22"/>
          <w:szCs w:val="22"/>
        </w:rPr>
        <w:t>11.22. Журнал производства работ.</w:t>
      </w:r>
    </w:p>
    <w:p w:rsidR="004537C5" w:rsidRPr="00D641C7" w:rsidRDefault="004537C5" w:rsidP="004537C5">
      <w:pPr>
        <w:shd w:val="clear" w:color="auto" w:fill="FFFFFF"/>
        <w:tabs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11.23. Акт приёма-передачи оборудования и приспособлений Подрядчиком Заказчику.</w:t>
      </w:r>
    </w:p>
    <w:p w:rsidR="004537C5" w:rsidRPr="00D641C7" w:rsidRDefault="004537C5" w:rsidP="004537C5">
      <w:pPr>
        <w:shd w:val="clear" w:color="auto" w:fill="FFFFFF"/>
        <w:tabs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11.24. Акт технической приёмки турбогенератора, согласно форм заказчика.</w:t>
      </w:r>
    </w:p>
    <w:p w:rsidR="004537C5" w:rsidRPr="00D641C7" w:rsidRDefault="004537C5" w:rsidP="004537C5">
      <w:pPr>
        <w:shd w:val="clear" w:color="auto" w:fill="FFFFFF"/>
        <w:tabs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11.25. Акт приёмки из ремонта установки, согласно формы приложения №27 приказа №1013 от 25 октября 2017 года.</w:t>
      </w:r>
    </w:p>
    <w:p w:rsidR="004537C5" w:rsidRPr="00D641C7" w:rsidRDefault="004537C5" w:rsidP="004537C5">
      <w:pPr>
        <w:shd w:val="clear" w:color="auto" w:fill="FFFFFF"/>
        <w:tabs>
          <w:tab w:val="num" w:pos="851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11.26. Протокол замеров вибрации до и после проведения работ.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bCs/>
          <w:sz w:val="22"/>
          <w:szCs w:val="22"/>
        </w:rPr>
        <w:t>11.27. Протокол проверки исправности датчиков температурного контроля меди, железа, газа, дистиллята генератора.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bCs/>
          <w:sz w:val="22"/>
          <w:szCs w:val="22"/>
        </w:rPr>
      </w:pPr>
      <w:r w:rsidRPr="00D641C7">
        <w:rPr>
          <w:rFonts w:ascii="Arial" w:hAnsi="Arial" w:cs="Arial"/>
          <w:bCs/>
          <w:sz w:val="22"/>
          <w:szCs w:val="22"/>
        </w:rPr>
        <w:t>11.28. Итоговый акт приёмки выполненных работ.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bCs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bCs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88" w:lineRule="auto"/>
        <w:ind w:right="57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hAnsi="Arial" w:cs="Arial"/>
          <w:b/>
          <w:bCs/>
          <w:sz w:val="22"/>
          <w:szCs w:val="22"/>
        </w:rPr>
        <w:t>Документация, предъявляемая шеф-инженером.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11.29.</w:t>
      </w:r>
      <w:r w:rsidRPr="00D641C7">
        <w:rPr>
          <w:rFonts w:ascii="Arial" w:hAnsi="Arial" w:cs="Arial"/>
          <w:b/>
          <w:sz w:val="22"/>
        </w:rPr>
        <w:t xml:space="preserve"> </w:t>
      </w:r>
      <w:r w:rsidRPr="00D641C7">
        <w:rPr>
          <w:rFonts w:ascii="Arial" w:hAnsi="Arial" w:cs="Arial"/>
          <w:sz w:val="22"/>
        </w:rPr>
        <w:t xml:space="preserve">Акт предварительного обследования оборудования, с указанием мероприятий, необходимых к выполнению в период ремонта (Акт предварительного обследования оборудования должен быть передан Заказчику в срок </w:t>
      </w:r>
      <w:r w:rsidRPr="00D641C7">
        <w:rPr>
          <w:rFonts w:ascii="Arial" w:hAnsi="Arial" w:cs="Arial"/>
          <w:sz w:val="22"/>
          <w:u w:val="single"/>
        </w:rPr>
        <w:t>до 01.08.2019г</w:t>
      </w:r>
      <w:r w:rsidRPr="00D641C7">
        <w:rPr>
          <w:rFonts w:ascii="Arial" w:hAnsi="Arial" w:cs="Arial"/>
          <w:sz w:val="22"/>
        </w:rPr>
        <w:t>.).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11.30. Отчет по модернизации турбогенератора ТГВ-200-2МУ3 ст. №3 включающий: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- перечень выполненных работ;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- сведения о выявленных дефектах оборудования и выполненных мероприятиях по их устранению;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 xml:space="preserve">- сведения о дефектах и несоответствиях техническим требованиям, предусмотренным технической документацией на данный тип оборудования, не устраненные в период проведения работ (при их наличии). 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11.31. Акт сдачи-приемки оказанных услуг.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11.32. Акты дефектации оборудования (совместно с Исполнителем работ по модернизации турбогенератора) предоставляются после разборки турбогенератора и проведения дефектации.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11.33. Формуляры замеров, акты технической поузловой приемки, протоколы приемки скрытых работ (оформляет Исполнитель работ по модернизации турбогенератора, согласовывает с шеф-инженером и передает Заказчику).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11.34. Протоколы технических решений, принятых при проведении модернизации турбогенератора (Совместно с Исполнителем работ и Заказчиком). Все технические решения, связанные с отступлением от требований действующей технической документации на турбогенератор ТГВ-200-2МУ3, Подрядчиком должны быть письменно согласованы с заводом-</w:t>
      </w:r>
      <w:r w:rsidRPr="00D641C7">
        <w:rPr>
          <w:rFonts w:ascii="Arial" w:hAnsi="Arial" w:cs="Arial"/>
          <w:sz w:val="22"/>
        </w:rPr>
        <w:lastRenderedPageBreak/>
        <w:t>изготовителем ГПЗ «ЭЛЕКТРОТЯЖМАШ» и предоставляются в период выполнения работ,  указанных в ТЗ.</w:t>
      </w:r>
    </w:p>
    <w:p w:rsidR="004537C5" w:rsidRPr="00D641C7" w:rsidRDefault="004537C5" w:rsidP="004537C5">
      <w:pPr>
        <w:spacing w:line="276" w:lineRule="auto"/>
        <w:jc w:val="both"/>
        <w:rPr>
          <w:rFonts w:ascii="Arial" w:hAnsi="Arial" w:cs="Arial"/>
          <w:sz w:val="22"/>
        </w:rPr>
      </w:pPr>
      <w:r w:rsidRPr="00D641C7">
        <w:rPr>
          <w:rFonts w:ascii="Arial" w:hAnsi="Arial" w:cs="Arial"/>
          <w:sz w:val="22"/>
        </w:rPr>
        <w:t>11.35. Программа посменных задач шеф-инженера согласованная с Заказчиком предоставляется перед началом выполнения работ по модернизации турбогенератора.</w:t>
      </w:r>
    </w:p>
    <w:p w:rsidR="004537C5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hAnsi="Arial" w:cs="Arial"/>
          <w:b/>
          <w:spacing w:val="0"/>
          <w:sz w:val="22"/>
          <w:szCs w:val="22"/>
        </w:rPr>
        <w:t xml:space="preserve">12. </w:t>
      </w:r>
      <w:r w:rsidRPr="00D641C7">
        <w:rPr>
          <w:rFonts w:ascii="Arial" w:hAnsi="Arial" w:cs="Arial"/>
          <w:b/>
          <w:bCs/>
          <w:sz w:val="22"/>
          <w:szCs w:val="22"/>
        </w:rPr>
        <w:t xml:space="preserve">Гарантия Подрядчика работ. 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0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Подрядчик должен гарантировать:</w:t>
      </w:r>
      <w:r w:rsidRPr="00D641C7">
        <w:rPr>
          <w:rFonts w:ascii="Arial" w:hAnsi="Arial" w:cs="Arial"/>
          <w:spacing w:val="0"/>
          <w:sz w:val="22"/>
          <w:szCs w:val="22"/>
        </w:rPr>
        <w:tab/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12.1. Надлежащее качество Работ в полном объеме в соответствии с техническим заданием и действующей нормативно-технической документацией.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12.2. Выполнение всех Работ в установленные сроки.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993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>12.5. Срок гарантии выполненных Работ устанавливается продолжительностью 36 (тридцать шесть) месяцев с момента подписания Итогового Акта приемки выполненных работ.</w:t>
      </w:r>
    </w:p>
    <w:p w:rsidR="004537C5" w:rsidRPr="00D641C7" w:rsidRDefault="004537C5" w:rsidP="004537C5">
      <w:pPr>
        <w:pStyle w:val="80"/>
        <w:shd w:val="clear" w:color="auto" w:fill="auto"/>
        <w:spacing w:before="0" w:line="276" w:lineRule="auto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sz w:val="22"/>
          <w:szCs w:val="22"/>
        </w:rPr>
        <w:t>12.6.</w:t>
      </w:r>
      <w:r w:rsidRPr="00D641C7">
        <w:rPr>
          <w:rFonts w:ascii="Arial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>В результате выполнения работ Подрядчик гарантирует:</w:t>
      </w:r>
    </w:p>
    <w:p w:rsidR="004537C5" w:rsidRPr="00D641C7" w:rsidRDefault="004537C5" w:rsidP="004537C5">
      <w:pPr>
        <w:pStyle w:val="80"/>
        <w:shd w:val="clear" w:color="auto" w:fill="auto"/>
        <w:spacing w:before="0" w:line="276" w:lineRule="auto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-      </w:t>
      </w:r>
      <w:r w:rsidRPr="00D641C7">
        <w:rPr>
          <w:rFonts w:ascii="Arial" w:hAnsi="Arial" w:cs="Arial"/>
          <w:i w:val="0"/>
          <w:sz w:val="22"/>
          <w:szCs w:val="22"/>
        </w:rPr>
        <w:t>обеспечение эксплуатационной надёжности генератора в области крепления лобовых частей обмотки статора</w:t>
      </w: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; </w:t>
      </w:r>
    </w:p>
    <w:p w:rsidR="004537C5" w:rsidRPr="00D641C7" w:rsidRDefault="004537C5" w:rsidP="004537C5">
      <w:pPr>
        <w:pStyle w:val="80"/>
        <w:shd w:val="clear" w:color="auto" w:fill="auto"/>
        <w:spacing w:before="0" w:line="276" w:lineRule="auto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>- достижение следующих гарантированных показателей работы турбогенератора, определяемых в результате проведения испытаний: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D641C7">
        <w:rPr>
          <w:rFonts w:ascii="Arial" w:hAnsi="Arial" w:cs="Arial"/>
          <w:sz w:val="22"/>
          <w:szCs w:val="22"/>
        </w:rPr>
        <w:t>1. Активная мощность, МВт (не менее) - 200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2. Полная мощность, МВ*А – 235,3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3. Коэффициент мощности – 0,85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4. Напряжение, В – 15750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5. Ток статора, А – 8630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6. Частота, Гц – 50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7. Ток возбуждения (номинальный), А – 1880 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8. Напряжение возбуждения, В – 400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9. Избыточное давление в корпусе турбогенератора, МПа – 0,3 - 0,4(3 - 4 кгс/см</w:t>
      </w:r>
      <w:r w:rsidRPr="00D641C7">
        <w:rPr>
          <w:rFonts w:ascii="Arial" w:hAnsi="Arial" w:cs="Arial"/>
          <w:sz w:val="22"/>
          <w:szCs w:val="22"/>
          <w:vertAlign w:val="superscript"/>
        </w:rPr>
        <w:t>2</w:t>
      </w:r>
      <w:r w:rsidRPr="00D641C7">
        <w:rPr>
          <w:rFonts w:ascii="Arial" w:hAnsi="Arial" w:cs="Arial"/>
          <w:sz w:val="22"/>
          <w:szCs w:val="22"/>
        </w:rPr>
        <w:t>)</w:t>
      </w:r>
    </w:p>
    <w:p w:rsidR="004537C5" w:rsidRPr="00D641C7" w:rsidRDefault="004537C5" w:rsidP="004537C5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10. КПД (расчётный), % - 98,6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21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b/>
          <w:color w:val="000000" w:themeColor="text1"/>
          <w:sz w:val="22"/>
          <w:szCs w:val="22"/>
        </w:rPr>
        <w:t>Приложения к ТЗ:</w:t>
      </w:r>
    </w:p>
    <w:p w:rsidR="004537C5" w:rsidRPr="00D641C7" w:rsidRDefault="004537C5" w:rsidP="004537C5">
      <w:pPr>
        <w:pStyle w:val="21"/>
        <w:numPr>
          <w:ilvl w:val="1"/>
          <w:numId w:val="4"/>
        </w:numPr>
        <w:shd w:val="clear" w:color="auto" w:fill="auto"/>
        <w:tabs>
          <w:tab w:val="left" w:pos="0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color w:val="000000" w:themeColor="text1"/>
          <w:sz w:val="22"/>
          <w:szCs w:val="22"/>
        </w:rPr>
        <w:t xml:space="preserve"> Приложение 1.  Требования по охране труда</w:t>
      </w:r>
    </w:p>
    <w:p w:rsidR="004537C5" w:rsidRPr="00D641C7" w:rsidRDefault="004537C5" w:rsidP="004537C5">
      <w:pPr>
        <w:pStyle w:val="80"/>
        <w:numPr>
          <w:ilvl w:val="1"/>
          <w:numId w:val="4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Приложение 2.  Сводный сметный расчет.</w:t>
      </w:r>
    </w:p>
    <w:p w:rsidR="004537C5" w:rsidRPr="00D641C7" w:rsidRDefault="004537C5" w:rsidP="004537C5">
      <w:pPr>
        <w:pStyle w:val="80"/>
        <w:numPr>
          <w:ilvl w:val="1"/>
          <w:numId w:val="4"/>
        </w:numPr>
        <w:shd w:val="clear" w:color="auto" w:fill="auto"/>
        <w:tabs>
          <w:tab w:val="left" w:pos="567"/>
        </w:tabs>
        <w:spacing w:before="0" w:line="276" w:lineRule="auto"/>
        <w:ind w:left="0"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Приложение 3.  Перечень материалов, предоставляемых Подрядчиком.</w:t>
      </w:r>
    </w:p>
    <w:p w:rsidR="004537C5" w:rsidRPr="00D641C7" w:rsidRDefault="004537C5" w:rsidP="004537C5">
      <w:pPr>
        <w:pStyle w:val="80"/>
        <w:numPr>
          <w:ilvl w:val="1"/>
          <w:numId w:val="4"/>
        </w:numPr>
        <w:shd w:val="clear" w:color="auto" w:fill="auto"/>
        <w:tabs>
          <w:tab w:val="left" w:pos="0"/>
          <w:tab w:val="left" w:pos="567"/>
          <w:tab w:val="left" w:pos="1134"/>
          <w:tab w:val="right" w:pos="9781"/>
        </w:tabs>
        <w:spacing w:before="0" w:line="276" w:lineRule="auto"/>
        <w:ind w:left="0" w:firstLine="0"/>
        <w:rPr>
          <w:rFonts w:ascii="Arial" w:hAnsi="Arial" w:cs="Arial"/>
          <w:i w:val="0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Приложение 4.  Форма запроса для Подрядчика "Система менеджмента охраны труда".</w:t>
      </w:r>
    </w:p>
    <w:p w:rsidR="004537C5" w:rsidRPr="00D641C7" w:rsidRDefault="004537C5" w:rsidP="004537C5">
      <w:pPr>
        <w:pStyle w:val="80"/>
        <w:numPr>
          <w:ilvl w:val="1"/>
          <w:numId w:val="4"/>
        </w:numPr>
        <w:shd w:val="clear" w:color="auto" w:fill="auto"/>
        <w:tabs>
          <w:tab w:val="left" w:pos="0"/>
          <w:tab w:val="left" w:pos="567"/>
          <w:tab w:val="left" w:pos="1134"/>
          <w:tab w:val="right" w:pos="9781"/>
        </w:tabs>
        <w:spacing w:before="0" w:line="276" w:lineRule="auto"/>
        <w:ind w:left="0" w:firstLine="0"/>
        <w:rPr>
          <w:rFonts w:ascii="Arial" w:hAnsi="Arial" w:cs="Arial"/>
          <w:i w:val="0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Приложение 5.  </w:t>
      </w:r>
      <w:r w:rsidRPr="00D641C7">
        <w:rPr>
          <w:rFonts w:ascii="Arial" w:eastAsia="Times New Roman" w:hAnsi="Arial" w:cs="Arial"/>
          <w:i w:val="0"/>
          <w:sz w:val="22"/>
          <w:szCs w:val="22"/>
        </w:rPr>
        <w:t>Форма запроса для Подрядчика "Аттестация персонала".</w:t>
      </w:r>
    </w:p>
    <w:p w:rsidR="004537C5" w:rsidRPr="00D641C7" w:rsidRDefault="004537C5" w:rsidP="004537C5">
      <w:pPr>
        <w:pStyle w:val="80"/>
        <w:numPr>
          <w:ilvl w:val="1"/>
          <w:numId w:val="4"/>
        </w:numPr>
        <w:shd w:val="clear" w:color="auto" w:fill="auto"/>
        <w:tabs>
          <w:tab w:val="left" w:pos="0"/>
          <w:tab w:val="left" w:pos="567"/>
          <w:tab w:val="left" w:pos="1134"/>
          <w:tab w:val="right" w:pos="9781"/>
        </w:tabs>
        <w:spacing w:before="0" w:line="276" w:lineRule="auto"/>
        <w:ind w:left="0" w:firstLine="0"/>
        <w:rPr>
          <w:rFonts w:ascii="Arial" w:hAnsi="Arial" w:cs="Arial"/>
          <w:i w:val="0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Приложение 6.  Оценка рисков по охране труда.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  <w:sectPr w:rsidR="004537C5" w:rsidRPr="00D641C7" w:rsidSect="003D36A0">
          <w:pgSz w:w="11905" w:h="16837"/>
          <w:pgMar w:top="992" w:right="851" w:bottom="992" w:left="1134" w:header="0" w:footer="6" w:gutter="0"/>
          <w:cols w:space="720"/>
          <w:noEndnote/>
          <w:docGrid w:linePitch="360"/>
        </w:sectPr>
      </w:pP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hAnsi="Arial" w:cs="Arial"/>
          <w:b/>
          <w:bCs/>
          <w:sz w:val="22"/>
          <w:szCs w:val="22"/>
        </w:rPr>
        <w:lastRenderedPageBreak/>
        <w:t>Приложение № 1</w:t>
      </w: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к техническому заданию</w:t>
      </w: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на выполнение работ по</w:t>
      </w: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модернизации турбогенератора </w:t>
      </w: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ТГВ-200МУЗ энергоблока №3</w:t>
      </w: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hAnsi="Arial" w:cs="Arial"/>
          <w:b/>
          <w:bCs/>
          <w:sz w:val="22"/>
          <w:szCs w:val="22"/>
        </w:rPr>
        <w:t>Требования по охране труда</w:t>
      </w:r>
    </w:p>
    <w:p w:rsidR="004537C5" w:rsidRPr="00D641C7" w:rsidRDefault="004537C5" w:rsidP="004537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hAnsi="Arial" w:cs="Arial"/>
          <w:b/>
          <w:bCs/>
          <w:sz w:val="22"/>
          <w:szCs w:val="22"/>
        </w:rPr>
        <w:t xml:space="preserve">1.Требования к </w:t>
      </w: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>Подрядчику (Исполнителю)</w:t>
      </w:r>
      <w:r w:rsidRPr="00D641C7">
        <w:rPr>
          <w:rFonts w:ascii="Arial" w:hAnsi="Arial" w:cs="Arial"/>
          <w:b/>
          <w:bCs/>
          <w:sz w:val="22"/>
          <w:szCs w:val="22"/>
        </w:rPr>
        <w:t>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 </w:t>
      </w:r>
      <w:r w:rsidRPr="00D641C7">
        <w:rPr>
          <w:rFonts w:ascii="Arial" w:hAnsi="Arial" w:cs="Arial"/>
          <w:b/>
          <w:bCs/>
          <w:sz w:val="22"/>
          <w:szCs w:val="22"/>
        </w:rPr>
        <w:t>Обязательные требования: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1.1.1. </w:t>
      </w:r>
      <w:r w:rsidRPr="00D641C7">
        <w:rPr>
          <w:rFonts w:ascii="Arial" w:hAnsi="Arial" w:cs="Arial"/>
          <w:sz w:val="22"/>
          <w:szCs w:val="22"/>
        </w:rPr>
        <w:t>Наличие у Подрядчика лиц, допущенных к производству работ,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профессиональной подготовки, подтвержденной удостоверениями на право выполнения работ, в том числе работ по модернизации турбогенератора ТГВ-200МУЗ энергоблока №3</w:t>
      </w:r>
      <w:r w:rsidRPr="00D641C7">
        <w:rPr>
          <w:rFonts w:ascii="Arial" w:hAnsi="Arial" w:cs="Arial"/>
          <w:iCs/>
          <w:sz w:val="22"/>
          <w:szCs w:val="22"/>
        </w:rPr>
        <w:t>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работ на высоте (согласно требований действующих Правил по охране труда при работе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на высоте, утвержденные приказом Минтруда и социальной защиты РФ от 28.03.2014 № 155н);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в электроустановках (персонал, выполняющий работу в электроустановках и с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электроинструментом, должен иметь группу по электробезопасности, соответствующую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</w:rPr>
        <w:t xml:space="preserve">• </w:t>
      </w:r>
      <w:r w:rsidRPr="00D641C7">
        <w:rPr>
          <w:rFonts w:ascii="Arial" w:hAnsi="Arial" w:cs="Arial"/>
          <w:color w:val="000000" w:themeColor="text1"/>
          <w:sz w:val="22"/>
          <w:szCs w:val="22"/>
        </w:rPr>
        <w:t>огневых (сварочных) работ;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работ с грузоподъёмными механизмами;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sz w:val="22"/>
          <w:szCs w:val="22"/>
        </w:rPr>
        <w:t>работ с электро и пневмоинструментом.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Персонал Подрядчика (Исполнителя) должен пройти проверку знаний правил, норм 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инструкций, регламентирующих выполнение работ и контроль качества в порядке,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установленном Федеральной службой по экологическому, технологическому и атомному надзору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(Ростехнадзор) Российской Федерации, в том числе иметь в наличии действующие протоколы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аттестаций в области промышленной безопасности при проведении соответствующих видов работ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на опасных производственных объектах.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1.1.2. </w:t>
      </w:r>
      <w:r w:rsidRPr="00D641C7">
        <w:rPr>
          <w:rFonts w:ascii="Arial" w:hAnsi="Arial" w:cs="Arial"/>
          <w:iCs/>
          <w:sz w:val="22"/>
          <w:szCs w:val="22"/>
        </w:rPr>
        <w:t>Наличие у Подрядчика документов, подтверждающих создание 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функционирование системы управления охраной труда (СУОТ) (OHSAS 18001-2007/ГОСТ Р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54934-2012 или ГОСТ12.0.230-2007), в том числе определяющих его политику в области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управления охраны труда, а также устанавливающие следующие процедуры: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«Руководство по системе»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«Управление документацией»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«Идентификация опасностей, оценки рисков и определения мер управления»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«Управление записями»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«Внутренний аудит»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«Несоответствия. Корректирующие и предупреждающие действия»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«Порядок отчетности об инцидентах и их расследование»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«Отчетность по системе»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«Анализ со стороны руководства»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1.1.3. </w:t>
      </w:r>
      <w:r w:rsidRPr="00D641C7">
        <w:rPr>
          <w:rFonts w:ascii="Arial" w:hAnsi="Arial" w:cs="Arial"/>
          <w:iCs/>
          <w:sz w:val="22"/>
          <w:szCs w:val="22"/>
        </w:rPr>
        <w:t>Наличие у Подрядчика постоянно - действующей комиссии по проверке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1.1.4. </w:t>
      </w:r>
      <w:r w:rsidRPr="00D641C7">
        <w:rPr>
          <w:rFonts w:ascii="Arial" w:hAnsi="Arial" w:cs="Arial"/>
          <w:iCs/>
          <w:sz w:val="22"/>
          <w:szCs w:val="22"/>
        </w:rPr>
        <w:t>Наличие у Подрядчика специалиста по охране труда, имеющего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профильное образование (техносферная безопасность) или представлено подтверждение о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повышении квалификации работника в объеме знаний по техносферной безопасности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lastRenderedPageBreak/>
        <w:t>(подтверждено дипломом). Для микропредприятия с численностью сотрудников до 15 человек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допускается привлекать стороннего специалиста по охране труда с вышеуказанными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компетенциями (предоставление копии договора).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1.1.5. </w:t>
      </w:r>
      <w:r w:rsidRPr="00D641C7">
        <w:rPr>
          <w:rFonts w:ascii="Arial" w:hAnsi="Arial" w:cs="Arial"/>
          <w:iCs/>
          <w:sz w:val="22"/>
          <w:szCs w:val="22"/>
        </w:rPr>
        <w:t>Наличие у Подрядчика работников, обеспеченных средствами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индивидуальной защиты в соответствии с отраслевыми нормами и видами выполняемых работ.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При этом минимальный комплект средств индивидуальной защиты должен состоять из: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Специальной одежды от общих производственных загрязнений (например, брюки или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полукомбинезон и куртка или комбинезон) с логотипом компании в зависимости от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сезона выполнения работ лето или зима*;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Специальная обувь (например, полуботинки, ботинки, сапоги и т.д.) в зависимости от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сезона выполнения работ лето или зима;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Защитная каска с подбородным ремнем;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Защитные очки;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</w:t>
      </w:r>
      <w:r w:rsidRPr="00D641C7">
        <w:rPr>
          <w:rFonts w:ascii="Arial" w:eastAsia="SymbolMT" w:hAnsi="Arial" w:cs="Arial"/>
          <w:sz w:val="22"/>
          <w:szCs w:val="22"/>
        </w:rPr>
        <w:t xml:space="preserve"> </w:t>
      </w:r>
      <w:r w:rsidRPr="00D641C7">
        <w:rPr>
          <w:rFonts w:ascii="Arial" w:hAnsi="Arial" w:cs="Arial"/>
          <w:iCs/>
          <w:sz w:val="22"/>
          <w:szCs w:val="22"/>
        </w:rPr>
        <w:t>Наушники.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•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1.1.6. </w:t>
      </w:r>
      <w:r w:rsidRPr="00D641C7">
        <w:rPr>
          <w:rFonts w:ascii="Arial" w:hAnsi="Arial" w:cs="Arial"/>
          <w:iCs/>
          <w:sz w:val="22"/>
          <w:szCs w:val="22"/>
        </w:rPr>
        <w:t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1.1.7. </w:t>
      </w:r>
      <w:r w:rsidRPr="00D641C7">
        <w:rPr>
          <w:rFonts w:ascii="Arial" w:hAnsi="Arial" w:cs="Arial"/>
          <w:iCs/>
          <w:sz w:val="22"/>
          <w:szCs w:val="22"/>
        </w:rPr>
        <w:t>Информацию за подписью руководителя организации, подтверждающего наличие в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необходимом количестве обученного и аттестованного персонала для проведения всех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 xml:space="preserve">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</w:t>
      </w:r>
      <w:r w:rsidRPr="00D641C7">
        <w:rPr>
          <w:rFonts w:ascii="Arial" w:eastAsia="Verdana" w:hAnsi="Arial" w:cs="Arial"/>
          <w:spacing w:val="-10"/>
          <w:sz w:val="22"/>
          <w:szCs w:val="22"/>
        </w:rPr>
        <w:t>приложений № 4, №5</w:t>
      </w:r>
      <w:r w:rsidRPr="00D641C7">
        <w:rPr>
          <w:rFonts w:ascii="Arial" w:hAnsi="Arial" w:cs="Arial"/>
          <w:iCs/>
          <w:sz w:val="22"/>
          <w:szCs w:val="22"/>
        </w:rPr>
        <w:t xml:space="preserve"> к настоящему ТЗ.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 </w:t>
      </w:r>
      <w:r w:rsidRPr="00D641C7">
        <w:rPr>
          <w:rFonts w:ascii="Arial" w:hAnsi="Arial" w:cs="Arial"/>
          <w:b/>
          <w:bCs/>
          <w:sz w:val="22"/>
          <w:szCs w:val="22"/>
        </w:rPr>
        <w:t>Желательные требования: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1.2.1. </w:t>
      </w:r>
      <w:r w:rsidRPr="00D641C7">
        <w:rPr>
          <w:rFonts w:ascii="Arial" w:hAnsi="Arial" w:cs="Arial"/>
          <w:iCs/>
          <w:sz w:val="22"/>
          <w:szCs w:val="22"/>
        </w:rPr>
        <w:t>Желательно наличие у Подрядчика системы менеджмента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также отчетов по предыдущему сертификационному или ре-сертификационном аудиту и отчета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по анализу со стороны руководства системы управления охраны труда за предыдущий период.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1.2.2. </w:t>
      </w:r>
      <w:r w:rsidRPr="00D641C7">
        <w:rPr>
          <w:rFonts w:ascii="Arial" w:hAnsi="Arial" w:cs="Arial"/>
          <w:iCs/>
          <w:sz w:val="22"/>
          <w:szCs w:val="22"/>
        </w:rPr>
        <w:t>Желательно отсутствие у Подрядчика пострадавших при несчастных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случаях на производстве, подтверждается формами №7-травматизм, утвержденной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641C7">
        <w:rPr>
          <w:rFonts w:ascii="Arial" w:hAnsi="Arial" w:cs="Arial"/>
          <w:b/>
          <w:bCs/>
          <w:iCs/>
          <w:sz w:val="22"/>
          <w:szCs w:val="22"/>
        </w:rPr>
        <w:t xml:space="preserve">2. Требования к выполнению </w:t>
      </w: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>работ (оказанию услуг)</w:t>
      </w:r>
      <w:r w:rsidRPr="00D641C7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4537C5" w:rsidRPr="00D641C7" w:rsidRDefault="004537C5" w:rsidP="004537C5">
      <w:pPr>
        <w:pStyle w:val="a4"/>
        <w:tabs>
          <w:tab w:val="left" w:pos="993"/>
        </w:tabs>
        <w:spacing w:line="276" w:lineRule="auto"/>
        <w:ind w:left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2.1. </w:t>
      </w:r>
      <w:r w:rsidRPr="00D641C7">
        <w:rPr>
          <w:rFonts w:ascii="Arial" w:eastAsia="Verdana" w:hAnsi="Arial" w:cs="Arial"/>
          <w:spacing w:val="-10"/>
          <w:sz w:val="22"/>
          <w:szCs w:val="22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lastRenderedPageBreak/>
        <w:t>Правила по охране труда при работе с инструментом и приспособлениями. Утвержденные приказом Министерства труда и социальной защиты Российской Федерации от 17 августа 2015 г. N 552н;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Правила по охране труда при погрузочно-разгрузочных работах и размещении грузов. Утвержденные приказом Министерства труда и социальной защиты Российской Федерации от 23 декабря 2014 г. N 642н;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Правила по охране труда при работе на высоте. Утвержденные Приказом Минтруда России от 28.03.2014 № 155н;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Правила техники безопасности при эксплуатации тепломеханического оборудования электростанций и тепловых сетей. Утвержденные Минтопэнерго России 03.04.1997 (РД 34.03.201-97);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Политика ПАО «Юнипро» в области охраны здоровья и обеспечения безопасности труда;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Регламент организации. СМОЗиБТ. Правила техники безопасности для подрядных организаций (СТО № ОТиБП-Р.03);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Положение организации. СМОЗиБТ. О проведении проверок рабочих мест в филиалах ОАО «Э.ОН России» (ПО-СОТТА-10);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Стандарт организации. СМОЗиБТ. Управление безопасностью электрических сетей (СТО № ОТиБП-С.12);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Стандарт организации. СМОЗиБТ. Правила безопасности при работе на высоте (СО-СОТТА-13);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Стандарт организации. СМОЗиБТ. Порядок отчетности об инцидентах и их расследование (СТО №БОТиБП-С.16);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Стандарт организации. СМОЗиБТ. Управление работой подрядных организаций и деловых партнеров (СТО № УБП-С.17);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Стандарт организации. СМОЗиБТ. О мерах безопасности при работе с асбестом и асбестосодержащим материалом (СТО № ОТиБП-С.20);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Положение организации. СМОЗиБТ. О проведении оценки рисков до начала выполнения работ по нарядам-допускам (ПО-СОТТА-24);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Регламент организации. СМОЗиБТ. Требования по повышению уровня организации охраны труда и техники безопасности (РО-СОТТА-26);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>ПУЭ «Правила устройства электроустановок», седьмое издание, 2003г;</w:t>
      </w:r>
    </w:p>
    <w:p w:rsidR="004537C5" w:rsidRPr="00D641C7" w:rsidRDefault="004537C5" w:rsidP="004537C5">
      <w:pPr>
        <w:numPr>
          <w:ilvl w:val="0"/>
          <w:numId w:val="6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 533;</w:t>
      </w:r>
    </w:p>
    <w:p w:rsidR="004537C5" w:rsidRPr="00D641C7" w:rsidRDefault="004537C5" w:rsidP="004537C5">
      <w:pPr>
        <w:tabs>
          <w:tab w:val="left" w:pos="404"/>
        </w:tabs>
        <w:spacing w:line="276" w:lineRule="auto"/>
        <w:ind w:left="426" w:hanging="142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 xml:space="preserve">- 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14.03.2014 № 102; </w:t>
      </w:r>
    </w:p>
    <w:p w:rsidR="004537C5" w:rsidRPr="00D641C7" w:rsidRDefault="004537C5" w:rsidP="004537C5">
      <w:pPr>
        <w:numPr>
          <w:ilvl w:val="0"/>
          <w:numId w:val="6"/>
        </w:numPr>
        <w:tabs>
          <w:tab w:val="left" w:pos="404"/>
        </w:tabs>
        <w:spacing w:line="276" w:lineRule="auto"/>
        <w:ind w:left="426" w:firstLine="141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4537C5" w:rsidRPr="00D641C7" w:rsidRDefault="004537C5" w:rsidP="004537C5">
      <w:pPr>
        <w:numPr>
          <w:ilvl w:val="0"/>
          <w:numId w:val="6"/>
        </w:numPr>
        <w:tabs>
          <w:tab w:val="left" w:pos="404"/>
        </w:tabs>
        <w:spacing w:line="276" w:lineRule="auto"/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641C7">
        <w:rPr>
          <w:rFonts w:ascii="Arial" w:eastAsia="Verdana" w:hAnsi="Arial" w:cs="Arial"/>
          <w:spacing w:val="-10"/>
          <w:sz w:val="22"/>
          <w:szCs w:val="22"/>
        </w:rPr>
        <w:t>СанПиН 2.2.3.2887-11 «Гигиенические требования при производстве и использовании хризотила и хризотилсодержащих материалов», утвержденные Постановлением Главного государственного санитарного врача РФ от 01.07.2011 № 87;</w:t>
      </w:r>
    </w:p>
    <w:p w:rsidR="004537C5" w:rsidRPr="00D641C7" w:rsidRDefault="004537C5" w:rsidP="004537C5">
      <w:pPr>
        <w:pStyle w:val="80"/>
        <w:shd w:val="clear" w:color="auto" w:fill="auto"/>
        <w:spacing w:before="0" w:line="276" w:lineRule="auto"/>
        <w:ind w:firstLine="58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>- 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:rsidR="004537C5" w:rsidRPr="00D641C7" w:rsidRDefault="004537C5" w:rsidP="004537C5">
      <w:pPr>
        <w:pStyle w:val="80"/>
        <w:shd w:val="clear" w:color="auto" w:fill="auto"/>
        <w:spacing w:before="0" w:line="276" w:lineRule="auto"/>
        <w:ind w:firstLine="58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641C7">
        <w:rPr>
          <w:rFonts w:ascii="Arial" w:hAnsi="Arial" w:cs="Arial"/>
          <w:i w:val="0"/>
          <w:color w:val="000000" w:themeColor="text1"/>
          <w:sz w:val="22"/>
          <w:szCs w:val="22"/>
        </w:rPr>
        <w:t>- Правила технической эксплуатации электрических станций и сетей Российской Федерации, утвержденные Приказом Минэнерго РФ от 19.06.2003 №229;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lastRenderedPageBreak/>
        <w:t xml:space="preserve">          - Типовая технологическая инструкция «Ремонт роторов турбогенераторов с водородным охлаждением» ОАО ЦКБ «Энергоремонт»;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D641C7">
        <w:rPr>
          <w:rFonts w:ascii="Arial" w:hAnsi="Arial" w:cs="Arial"/>
          <w:spacing w:val="0"/>
          <w:sz w:val="22"/>
          <w:szCs w:val="22"/>
        </w:rPr>
        <w:t xml:space="preserve">          - «ПТЭ электрических станций и сетей РФ», 2003;</w:t>
      </w:r>
    </w:p>
    <w:p w:rsidR="004537C5" w:rsidRPr="00D641C7" w:rsidRDefault="004537C5" w:rsidP="004537C5">
      <w:pPr>
        <w:shd w:val="clear" w:color="auto" w:fill="FFFFFF"/>
        <w:tabs>
          <w:tab w:val="left" w:pos="223"/>
          <w:tab w:val="lef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  - «ПУЭ Правила устройства электроустановок» 2002 г;</w:t>
      </w:r>
    </w:p>
    <w:p w:rsidR="004537C5" w:rsidRPr="00D641C7" w:rsidRDefault="004537C5" w:rsidP="004537C5">
      <w:pPr>
        <w:pStyle w:val="70"/>
        <w:tabs>
          <w:tab w:val="left" w:pos="786"/>
        </w:tabs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        - 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арендаторов»;</w:t>
      </w:r>
    </w:p>
    <w:p w:rsidR="004537C5" w:rsidRPr="00D641C7" w:rsidRDefault="004537C5" w:rsidP="004537C5">
      <w:pPr>
        <w:pStyle w:val="70"/>
        <w:tabs>
          <w:tab w:val="left" w:pos="786"/>
        </w:tabs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        - 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(ИО-ООТиПК-02/16);</w:t>
      </w:r>
    </w:p>
    <w:p w:rsidR="004537C5" w:rsidRPr="00D641C7" w:rsidRDefault="004537C5" w:rsidP="004537C5">
      <w:pPr>
        <w:pStyle w:val="70"/>
        <w:tabs>
          <w:tab w:val="left" w:pos="0"/>
        </w:tabs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       - РД 153-34.0-03.301-00 «Правила пожарной безопасности для энергетических предприятий»;</w:t>
      </w:r>
    </w:p>
    <w:p w:rsidR="004537C5" w:rsidRPr="00D641C7" w:rsidRDefault="004537C5" w:rsidP="004537C5">
      <w:pPr>
        <w:pStyle w:val="70"/>
        <w:tabs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 -  РД 03-615-03 «Порядок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объектов».  - РД 34.45-51.300-97 «Объем и нормы испытаний электрооборудования». - </w:t>
      </w:r>
      <w:r w:rsidRPr="00D641C7">
        <w:rPr>
          <w:rFonts w:ascii="Arial" w:hAnsi="Arial" w:cs="Arial"/>
          <w:color w:val="000000"/>
          <w:sz w:val="22"/>
          <w:szCs w:val="22"/>
        </w:rPr>
        <w:t>СТО 70238424.27.040.006-2009 «Турбина паровая К-200-130 ЛМЗ ТУ на капитальный ремонт. Нормы и требования», 2009г.;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 Технологический процесс капитального ремонта турбины К-200-130 ЛМЗ РТ-200-06А «Ревизия цилиндра низкого давления»;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Технологический процесс капитального ремонта турбины К-200-130 ЛМЗ «Центровка роторов» 380091 ХФ.01102.00007;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Формуляр №6 «Зазоры в опорных подшипниках»;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Карта замеров 4889 «Центровка роторов по полумуфтам»;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Формуляр №38 «Проверка спаривания («маятника» и «коленчатости») муфт роторов»;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Формуляры №8</w:t>
      </w:r>
      <w:r w:rsidRPr="00D641C7">
        <w:rPr>
          <w:rFonts w:ascii="Arial" w:hAnsi="Arial" w:cs="Arial"/>
          <w:sz w:val="22"/>
          <w:szCs w:val="22"/>
        </w:rPr>
        <w:t xml:space="preserve"> </w:t>
      </w:r>
      <w:r w:rsidRPr="00D641C7">
        <w:rPr>
          <w:rFonts w:ascii="Arial" w:eastAsia="Verdana" w:hAnsi="Arial" w:cs="Arial"/>
          <w:sz w:val="22"/>
          <w:szCs w:val="22"/>
        </w:rPr>
        <w:t>«Зазоры по маслозащитным кольцам»;</w:t>
      </w:r>
    </w:p>
    <w:p w:rsidR="004537C5" w:rsidRPr="00D641C7" w:rsidRDefault="004537C5" w:rsidP="004537C5">
      <w:pPr>
        <w:tabs>
          <w:tab w:val="left" w:pos="567"/>
        </w:tabs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Эскиз и паспорт монтажных зазоров БТВ-300;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eastAsia="Verdana" w:hAnsi="Arial" w:cs="Arial"/>
          <w:sz w:val="22"/>
          <w:szCs w:val="22"/>
        </w:rPr>
      </w:pPr>
      <w:r w:rsidRPr="00D641C7">
        <w:rPr>
          <w:rFonts w:ascii="Arial" w:eastAsia="Verdana" w:hAnsi="Arial" w:cs="Arial"/>
          <w:sz w:val="22"/>
          <w:szCs w:val="22"/>
        </w:rPr>
        <w:t xml:space="preserve">         - Эскиз и паспорт монтажных зазоров ГИТ-50/400;</w:t>
      </w:r>
    </w:p>
    <w:p w:rsidR="004537C5" w:rsidRPr="00D641C7" w:rsidRDefault="004537C5" w:rsidP="004537C5">
      <w:pPr>
        <w:spacing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D641C7">
        <w:rPr>
          <w:rFonts w:ascii="Arial" w:hAnsi="Arial" w:cs="Arial"/>
          <w:sz w:val="22"/>
          <w:szCs w:val="22"/>
        </w:rPr>
        <w:t xml:space="preserve">         - Карта пооперационного контроля ремонта масляных уплотнений генератора ТГВ-200М ст. №3.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2.2. </w:t>
      </w:r>
      <w:r w:rsidRPr="00D641C7">
        <w:rPr>
          <w:rFonts w:ascii="Arial" w:hAnsi="Arial" w:cs="Arial"/>
          <w:iCs/>
          <w:sz w:val="22"/>
          <w:szCs w:val="22"/>
        </w:rPr>
        <w:t>До начала выполнения работ Подрядчик обязан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2.3. </w:t>
      </w:r>
      <w:r w:rsidRPr="00D641C7">
        <w:rPr>
          <w:rFonts w:ascii="Arial" w:hAnsi="Arial" w:cs="Arial"/>
          <w:iCs/>
          <w:sz w:val="22"/>
          <w:szCs w:val="22"/>
        </w:rPr>
        <w:t>При количестве персонала Подрядчика, в том числе с учётом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(Исполнителя) на площадке Заказчика в течение всего времени выполнения работ по Договору.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По результатам контроля состояния дел по выполнению правил охраны труда и техники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безопасности персоналом Подрядчика (в т.ч. субподрядчиков), Заказчику</w:t>
      </w:r>
    </w:p>
    <w:p w:rsidR="004537C5" w:rsidRPr="00D641C7" w:rsidRDefault="004537C5" w:rsidP="004537C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641C7">
        <w:rPr>
          <w:rFonts w:ascii="Arial" w:hAnsi="Arial" w:cs="Arial"/>
          <w:iCs/>
          <w:sz w:val="22"/>
          <w:szCs w:val="22"/>
        </w:rPr>
        <w:t>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F6A29" w:rsidRDefault="002F6A29" w:rsidP="004537C5"/>
    <w:p w:rsidR="004537C5" w:rsidRDefault="004537C5" w:rsidP="004537C5">
      <w:pPr>
        <w:tabs>
          <w:tab w:val="left" w:pos="9915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4537C5" w:rsidRDefault="004537C5" w:rsidP="004537C5">
      <w:pPr>
        <w:tabs>
          <w:tab w:val="left" w:pos="9915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4537C5" w:rsidRDefault="004537C5" w:rsidP="004537C5">
      <w:pPr>
        <w:tabs>
          <w:tab w:val="left" w:pos="9915"/>
        </w:tabs>
        <w:rPr>
          <w:rFonts w:ascii="Arial" w:hAnsi="Arial" w:cs="Arial"/>
          <w:b/>
          <w:sz w:val="22"/>
          <w:szCs w:val="22"/>
          <w:lang w:eastAsia="en-US"/>
        </w:rPr>
        <w:sectPr w:rsidR="004537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_GoBack"/>
      <w:bookmarkEnd w:id="5"/>
    </w:p>
    <w:p w:rsidR="004537C5" w:rsidRPr="00D641C7" w:rsidRDefault="004537C5" w:rsidP="004537C5">
      <w:pPr>
        <w:tabs>
          <w:tab w:val="left" w:pos="9915"/>
        </w:tabs>
        <w:rPr>
          <w:rFonts w:ascii="Arial" w:hAnsi="Arial" w:cs="Arial"/>
          <w:b/>
          <w:sz w:val="22"/>
          <w:szCs w:val="22"/>
          <w:lang w:eastAsia="en-US"/>
        </w:rPr>
      </w:pPr>
      <w:r w:rsidRPr="00D641C7">
        <w:rPr>
          <w:rFonts w:ascii="Arial" w:hAnsi="Arial" w:cs="Arial"/>
          <w:b/>
          <w:sz w:val="22"/>
          <w:szCs w:val="22"/>
          <w:lang w:eastAsia="en-US"/>
        </w:rPr>
        <w:lastRenderedPageBreak/>
        <w:t>Приложение 3</w:t>
      </w:r>
    </w:p>
    <w:p w:rsidR="004537C5" w:rsidRPr="00D641C7" w:rsidRDefault="004537C5" w:rsidP="004537C5">
      <w:pPr>
        <w:tabs>
          <w:tab w:val="left" w:pos="9210"/>
        </w:tabs>
        <w:rPr>
          <w:rFonts w:ascii="Arial" w:hAnsi="Arial" w:cs="Arial"/>
          <w:b/>
          <w:sz w:val="22"/>
          <w:szCs w:val="22"/>
          <w:lang w:eastAsia="en-US"/>
        </w:rPr>
      </w:pPr>
      <w:r w:rsidRPr="00D641C7">
        <w:rPr>
          <w:rFonts w:ascii="Arial" w:hAnsi="Arial" w:cs="Arial"/>
          <w:b/>
          <w:sz w:val="22"/>
          <w:szCs w:val="22"/>
          <w:lang w:eastAsia="en-US"/>
        </w:rPr>
        <w:t>Материалы поставщика.</w:t>
      </w:r>
    </w:p>
    <w:p w:rsidR="004537C5" w:rsidRPr="00D641C7" w:rsidRDefault="004537C5" w:rsidP="004537C5">
      <w:pPr>
        <w:tabs>
          <w:tab w:val="left" w:pos="9210"/>
        </w:tabs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5208" w:type="dxa"/>
        <w:tblLayout w:type="fixed"/>
        <w:tblLook w:val="04A0" w:firstRow="1" w:lastRow="0" w:firstColumn="1" w:lastColumn="0" w:noHBand="0" w:noVBand="1"/>
      </w:tblPr>
      <w:tblGrid>
        <w:gridCol w:w="560"/>
        <w:gridCol w:w="716"/>
        <w:gridCol w:w="4394"/>
        <w:gridCol w:w="2268"/>
        <w:gridCol w:w="993"/>
        <w:gridCol w:w="1134"/>
        <w:gridCol w:w="992"/>
        <w:gridCol w:w="992"/>
        <w:gridCol w:w="1275"/>
        <w:gridCol w:w="851"/>
        <w:gridCol w:w="1033"/>
      </w:tblGrid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537C5" w:rsidRPr="00D641C7" w:rsidTr="00D07142">
        <w:trPr>
          <w:trHeight w:val="1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ГОСТ, ТУ, СИ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Ед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Кол-во необходимое к закупке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bookmarkStart w:id="6" w:name="RANGE!H6"/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Стоимость всего</w:t>
            </w:r>
            <w:bookmarkEnd w:id="6"/>
          </w:p>
        </w:tc>
        <w:bookmarkStart w:id="7" w:name="RANGE!I6"/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/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HYPERLINK "file:///D:\\Documents\\Desktop\\Приложение%20№5%20Перечень%20МТР%20Подрядчика%20с%20НЕ.xlsx" \l "RANGE!B131" </w:instrText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t>Вид верификации[1]</w:t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  <w:bookmarkEnd w:id="7"/>
          </w:p>
        </w:tc>
        <w:bookmarkStart w:id="8" w:name="RANGE!J6"/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/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HYPERLINK "file:///D:\\Documents\\Desktop\\Приложение%20№5%20Перечень%20МТР%20Подрядчика%20с%20НЕ.xlsx" \l "RANGE!B132" </w:instrText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t>Метод верификации[2]</w:t>
            </w:r>
            <w:r w:rsidRPr="00D641C7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hyperlink r:id="rId5" w:anchor="RANGE!B133" w:history="1">
              <w:r w:rsidRPr="00D641C7"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Участие Заказчика в верификации[3]</w:t>
              </w:r>
            </w:hyperlink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Опора БИЛТ.715712.001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8ТХ.043.008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Опора БИЛТ.714632.001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8ТХ.043.009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6"/>
              </w:rPr>
              <w:t>Колпачок (модернизированный)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8ТХ.307.073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Ось БИЛТ.715111.001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8ТХ.205.167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6"/>
              </w:rPr>
              <w:t>Тяга (модернизированная)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8ТХ.234.019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Оправа БИЛТ.741483.005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8ТХ.087.176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6"/>
              </w:rPr>
              <w:t>Кольцо уплотнительное (кв.)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8ТХ.370.233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6"/>
              </w:rPr>
              <w:t>Кольцо уплотнительное (круг.)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8ТХ.370.408-01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Бензин Б-70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ТУ 38.101913-82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Клей-88СА, (2,4кг.)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ТУ 38.1051760-89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банка.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Компаунд ЭЛ-8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Толуол ч.д.а. (0,8кг.)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Спирт изопропиловый абсолютированный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 9805-84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Уайт-спирит (0,8кг.)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Ацетон технический, ГОСТ 2768-84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 2768-84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Эмаль ГФ-92ХС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 9151-75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Лак БТ-99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Шнур-чулок лавсановый 3,0 мм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ТУ 17 РСФСР 44-4814-76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пог.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19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Пленка Ф-4 ЭО, сорт 1, 0,1х50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 xml:space="preserve"> ГОСТ 24222-80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Лента ЛСБЭ-F(У)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ТУ У17.2-34445771.001-2006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Стеклолента ЛЭС 0,15х25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 5937-81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Стеклолента ЛЭС 0,2х25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 5937-81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Лента стеклослюдопластовая ЛИКО-ТТ 0,15х25.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 xml:space="preserve">ТУ 16-89 И79.0190.001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Стеклолакоткань ЛСКЛ-155 0,12x25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ГОСТ10156-78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 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Пленка полиэтиленовая 1500 х 80(мк) х 100м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рулон.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Лента ЛСПК-110, 0,1*35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ТУ3491-016-50157149-2012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Стеклолента ЛЭС 0,2х35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 5937-81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ОУ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Проволока бандажная вязальная, диаметр 1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29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Проволока нихромовая Х15Н60 д.1,4мм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 xml:space="preserve"> ГОСТ 12766.1-90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Проволока нихромовая Х15Н60 д.2,0мм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 xml:space="preserve"> ГОСТ 12766.1-90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Шнур вакуумный, диаметр 10 мм, рез. 7889,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 xml:space="preserve">ТУ 38-105108-76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Стеклотекстолит СТЭФ-1 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ГОСТ12652-74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Стеклотекстолит СТЭФ-1 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ГОСТ12652-74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Пластина УМ рулон 4х1200х5000мм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 xml:space="preserve"> ГОСТ 12855-77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И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Изм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ПТ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Ваф. полотно отбел. пл-ть 170г/кв.м.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Проволока медная МТ-1мм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Керосин КО-25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 xml:space="preserve">Шнур вакуумный, диаметр  8 мм, рез. 14-Р2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- 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39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Патрубок БИЛТ.302591.004-02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5ТХ.458.760-01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Патрубок БИЛТ.302591.004-02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  <w:szCs w:val="22"/>
              </w:rPr>
              <w:t>5ТХ.458.761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Виз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ОУ</w:t>
            </w:r>
          </w:p>
        </w:tc>
      </w:tr>
      <w:tr w:rsidR="004537C5" w:rsidRPr="00D641C7" w:rsidTr="00D071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41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</w:rPr>
            </w:pPr>
            <w:r w:rsidRPr="00D641C7">
              <w:rPr>
                <w:rFonts w:ascii="Arial" w:hAnsi="Arial" w:cs="Arial"/>
                <w:sz w:val="22"/>
              </w:rPr>
              <w:t>Термопреобразователь ТСМ 319М.02-50М-В4-5/25-1600-О-Ксп-К</w:t>
            </w:r>
          </w:p>
          <w:p w:rsidR="004537C5" w:rsidRPr="00D641C7" w:rsidRDefault="004537C5" w:rsidP="00D0714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7C5" w:rsidRPr="00D641C7" w:rsidRDefault="004537C5" w:rsidP="00D07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C5" w:rsidRPr="00D641C7" w:rsidRDefault="004537C5" w:rsidP="00D07142">
            <w:pPr>
              <w:jc w:val="center"/>
              <w:rPr>
                <w:rFonts w:ascii="Arial" w:hAnsi="Arial" w:cs="Arial"/>
                <w:sz w:val="22"/>
              </w:rPr>
            </w:pPr>
            <w:r w:rsidRPr="00D641C7"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hAnsi="Arial" w:cs="Arial"/>
                <w:sz w:val="22"/>
              </w:rPr>
            </w:pPr>
            <w:r w:rsidRPr="00D641C7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7C5" w:rsidRPr="00D641C7" w:rsidRDefault="004537C5" w:rsidP="00D07142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Изм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ПТ </w:t>
            </w:r>
          </w:p>
        </w:tc>
      </w:tr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</w:rPr>
            </w:pPr>
            <w:hyperlink r:id="rId6" w:anchor="RANGE!H6" w:history="1">
              <w:r w:rsidRPr="00D641C7">
                <w:rPr>
                  <w:rFonts w:ascii="Arial" w:eastAsia="Times New Roman" w:hAnsi="Arial" w:cs="Arial"/>
                  <w:color w:val="auto"/>
                  <w:sz w:val="22"/>
                  <w:szCs w:val="22"/>
                  <w:u w:val="single"/>
                </w:rPr>
                <w:t>[1] Вид верификации: сплошной (С), выборочный (В), испытания (И), не производится (-);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</w:rPr>
            </w:pPr>
            <w:hyperlink r:id="rId7" w:anchor="RANGE!I6" w:history="1">
              <w:r w:rsidRPr="00D641C7">
                <w:rPr>
                  <w:rFonts w:ascii="Arial" w:eastAsia="Times New Roman" w:hAnsi="Arial" w:cs="Arial"/>
                  <w:color w:val="auto"/>
                  <w:sz w:val="22"/>
                  <w:szCs w:val="22"/>
                  <w:u w:val="single"/>
                </w:rPr>
                <w:t>[2] Методы верификации: измерительный (Изм), визуальный (Виз), органолептический (О), не производится (-).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2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37C5" w:rsidRPr="00D641C7" w:rsidRDefault="004537C5" w:rsidP="00D07142">
            <w:pPr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</w:rPr>
            </w:pPr>
            <w:hyperlink r:id="rId8" w:anchor="RANGE!J6" w:history="1">
              <w:r w:rsidRPr="00D641C7">
                <w:rPr>
                  <w:rFonts w:ascii="Arial" w:eastAsia="Times New Roman" w:hAnsi="Arial" w:cs="Arial"/>
                  <w:color w:val="auto"/>
                  <w:sz w:val="22"/>
                  <w:szCs w:val="22"/>
                  <w:u w:val="single"/>
                </w:rPr>
                <w:t xml:space="preserve">[3] Участие представителей Заказчика: не обязательное, но возможно по требованию Заказчика – (ПТ), обязательное участие Заказчика – (ОУ). 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37C5" w:rsidRPr="00D641C7" w:rsidRDefault="004537C5" w:rsidP="00D071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rPr>
          <w:rFonts w:ascii="Arial" w:hAnsi="Arial" w:cs="Arial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D641C7">
        <w:rPr>
          <w:rFonts w:ascii="Arial" w:hAnsi="Arial" w:cs="Arial"/>
          <w:b/>
          <w:spacing w:val="0"/>
          <w:sz w:val="22"/>
          <w:szCs w:val="22"/>
        </w:rPr>
        <w:t>Приложение 4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D641C7">
        <w:rPr>
          <w:rFonts w:ascii="Arial" w:hAnsi="Arial" w:cs="Arial"/>
          <w:b/>
          <w:spacing w:val="0"/>
          <w:sz w:val="22"/>
          <w:szCs w:val="22"/>
        </w:rPr>
        <w:t>Форма запроса для Подрядчика "Система менеджмента охраны труда"</w:t>
      </w: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4535"/>
        <w:gridCol w:w="1477"/>
        <w:gridCol w:w="2041"/>
        <w:gridCol w:w="1800"/>
        <w:gridCol w:w="1477"/>
        <w:gridCol w:w="1565"/>
        <w:gridCol w:w="2059"/>
      </w:tblGrid>
      <w:tr w:rsidR="004537C5" w:rsidRPr="00D641C7" w:rsidTr="00D07142">
        <w:trPr>
          <w:trHeight w:val="4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номер/серия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кем выдан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когда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срок 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Комментарии</w:t>
            </w:r>
          </w:p>
        </w:tc>
      </w:tr>
      <w:tr w:rsidR="004537C5" w:rsidRPr="00D641C7" w:rsidTr="00D07142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 xml:space="preserve">Наличие сертификата ГОСТ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Наличие аудиторского отчета по сертификации на ГОСТ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8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Наличие отчета по системе менджента (анализ функционирования системы со стороны руководства за предыдущий период) (ГОСТ)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Наличие сертификата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Наличие аудиторского отчета по сертификации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94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Наличие отчета по системе менеджемента (анализ функционирования системы со стороны руководства (OHSAS)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543"/>
        <w:gridCol w:w="2702"/>
        <w:gridCol w:w="2126"/>
      </w:tblGrid>
      <w:tr w:rsidR="004537C5" w:rsidRPr="00D641C7" w:rsidTr="00D07142">
        <w:trPr>
          <w:trHeight w:val="93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Приложение 5</w:t>
            </w:r>
          </w:p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Форма запроса для Подрядчика "Аттестация персонала"</w:t>
            </w:r>
          </w:p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b/>
                <w:color w:val="2F75B5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color w:val="2F75B5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  <w:tr w:rsidR="004537C5" w:rsidRPr="00D641C7" w:rsidTr="00D0714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Профессия должность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537C5" w:rsidRPr="00D641C7" w:rsidRDefault="004537C5" w:rsidP="00D0714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Области аттестации/проверки знаний 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537C5" w:rsidRPr="00D641C7" w:rsidRDefault="004537C5" w:rsidP="00D0714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Дата следующей проверки знаний/аттестации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537C5" w:rsidRPr="00D641C7" w:rsidRDefault="004537C5" w:rsidP="00D0714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Генеральный директор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Директор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Начальник отдела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далее по профессиям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4537C5" w:rsidRPr="00D641C7" w:rsidTr="00D0714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7C5" w:rsidRPr="00D641C7" w:rsidRDefault="004537C5" w:rsidP="00D07142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41C7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Pr="00D641C7" w:rsidRDefault="004537C5" w:rsidP="004537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:rsidR="004537C5" w:rsidRDefault="004537C5" w:rsidP="004537C5"/>
    <w:sectPr w:rsidR="004537C5" w:rsidSect="004537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26B4EB6"/>
    <w:multiLevelType w:val="multilevel"/>
    <w:tmpl w:val="2DB61E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1165ED"/>
    <w:multiLevelType w:val="hybridMultilevel"/>
    <w:tmpl w:val="82EC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00D"/>
    <w:multiLevelType w:val="multilevel"/>
    <w:tmpl w:val="82F6A7D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56395A"/>
    <w:multiLevelType w:val="multilevel"/>
    <w:tmpl w:val="E7BCB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5" w15:restartNumberingAfterBreak="0">
    <w:nsid w:val="62E244B3"/>
    <w:multiLevelType w:val="multilevel"/>
    <w:tmpl w:val="955431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C5"/>
    <w:rsid w:val="002F6A29"/>
    <w:rsid w:val="004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A67E-414A-43EE-9469-989F5061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4537C5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4537C5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4537C5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4537C5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">
    <w:name w:val="Основной текст + Полужирный2"/>
    <w:aliases w:val="Интервал 0 pt2"/>
    <w:basedOn w:val="a3"/>
    <w:uiPriority w:val="99"/>
    <w:rsid w:val="004537C5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4537C5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4537C5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4537C5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4537C5"/>
    <w:pPr>
      <w:ind w:left="720"/>
      <w:contextualSpacing/>
    </w:pPr>
  </w:style>
  <w:style w:type="paragraph" w:styleId="a6">
    <w:name w:val="Body Text Indent"/>
    <w:basedOn w:val="a"/>
    <w:link w:val="a7"/>
    <w:rsid w:val="004537C5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7">
    <w:name w:val="Основной текст с отступом Знак"/>
    <w:basedOn w:val="a0"/>
    <w:link w:val="a6"/>
    <w:rsid w:val="004537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4537C5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537C5"/>
    <w:pPr>
      <w:widowControl w:val="0"/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color w:val="auto"/>
      <w:sz w:val="18"/>
      <w:szCs w:val="18"/>
      <w:lang w:eastAsia="en-US"/>
    </w:rPr>
  </w:style>
  <w:style w:type="character" w:customStyle="1" w:styleId="9">
    <w:name w:val="Основной текст (9)_"/>
    <w:basedOn w:val="a0"/>
    <w:link w:val="90"/>
    <w:rsid w:val="004537C5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537C5"/>
    <w:pPr>
      <w:widowControl w:val="0"/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rsid w:val="004537C5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81">
    <w:name w:val="Основной текст (8) + Не курсив"/>
    <w:basedOn w:val="8"/>
    <w:rsid w:val="004537C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4537C5"/>
    <w:pPr>
      <w:widowControl w:val="0"/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42">
    <w:name w:val="Заголовок №4 (2)_"/>
    <w:basedOn w:val="a0"/>
    <w:link w:val="420"/>
    <w:rsid w:val="004537C5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420">
    <w:name w:val="Заголовок №4 (2)"/>
    <w:basedOn w:val="a"/>
    <w:link w:val="42"/>
    <w:rsid w:val="004537C5"/>
    <w:pPr>
      <w:widowControl w:val="0"/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color w:val="auto"/>
      <w:sz w:val="20"/>
      <w:szCs w:val="20"/>
      <w:lang w:eastAsia="en-US"/>
    </w:rPr>
  </w:style>
  <w:style w:type="character" w:customStyle="1" w:styleId="a5">
    <w:name w:val="Абзац списка Знак"/>
    <w:basedOn w:val="a0"/>
    <w:link w:val="a4"/>
    <w:uiPriority w:val="34"/>
    <w:rsid w:val="004537C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Desktop\&#1055;&#1088;&#1080;&#1083;&#1086;&#1078;&#1077;&#1085;&#1080;&#1077;%20&#8470;5%20&#1055;&#1077;&#1088;&#1077;&#1095;&#1077;&#1085;&#1100;%20&#1052;&#1058;&#1056;%20&#1055;&#1086;&#1076;&#1088;&#1103;&#1076;&#1095;&#1080;&#1082;&#1072;%20&#1089;%20&#1053;&#1045;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Documents\Desktop\&#1055;&#1088;&#1080;&#1083;&#1086;&#1078;&#1077;&#1085;&#1080;&#1077;%20&#8470;5%20&#1055;&#1077;&#1088;&#1077;&#1095;&#1077;&#1085;&#1100;%20&#1052;&#1058;&#1056;%20&#1055;&#1086;&#1076;&#1088;&#1103;&#1076;&#1095;&#1080;&#1082;&#1072;%20&#1089;%20&#1053;&#1045;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Desktop\&#1055;&#1088;&#1080;&#1083;&#1086;&#1078;&#1077;&#1085;&#1080;&#1077;%20&#8470;5%20&#1055;&#1077;&#1088;&#1077;&#1095;&#1077;&#1085;&#1100;%20&#1052;&#1058;&#1056;%20&#1055;&#1086;&#1076;&#1088;&#1103;&#1076;&#1095;&#1080;&#1082;&#1072;%20&#1089;%20&#1053;&#1045;.xlsx" TargetMode="External"/><Relationship Id="rId5" Type="http://schemas.openxmlformats.org/officeDocument/2006/relationships/hyperlink" Target="file:///D:\Documents\Desktop\&#1055;&#1088;&#1080;&#1083;&#1086;&#1078;&#1077;&#1085;&#1080;&#1077;%20&#8470;5%20&#1055;&#1077;&#1088;&#1077;&#1095;&#1077;&#1085;&#1100;%20&#1052;&#1058;&#1056;%20&#1055;&#1086;&#1076;&#1088;&#1103;&#1076;&#1095;&#1080;&#1082;&#1072;%20&#1089;%20&#1053;&#1045;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5665</Words>
  <Characters>32296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</cp:revision>
  <dcterms:created xsi:type="dcterms:W3CDTF">2019-03-06T13:21:00Z</dcterms:created>
  <dcterms:modified xsi:type="dcterms:W3CDTF">2019-03-06T13:24:00Z</dcterms:modified>
</cp:coreProperties>
</file>