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B48FA">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0A5CDE">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0A5CDE">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0A5CDE">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0A5CDE">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0A5CDE">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0A5CDE">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0A5CDE">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0A5CDE">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0A5CDE">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0A5CDE">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0A5CDE">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0A5CDE">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002B467C" w:rsidRPr="002B467C">
        <w:rPr>
          <w:rFonts w:ascii="Arial" w:hAnsi="Arial" w:cs="Arial"/>
          <w:snapToGrid/>
          <w:color w:val="000000"/>
          <w:sz w:val="22"/>
          <w:szCs w:val="22"/>
        </w:rPr>
        <w:t>№9П200</w:t>
      </w:r>
      <w:r w:rsidR="002C36BB">
        <w:rPr>
          <w:rFonts w:ascii="Arial" w:hAnsi="Arial" w:cs="Arial"/>
          <w:snapToGrid/>
          <w:color w:val="000000"/>
          <w:sz w:val="22"/>
          <w:szCs w:val="22"/>
        </w:rPr>
        <w:t>04</w:t>
      </w:r>
      <w:r w:rsidR="002B467C" w:rsidRPr="002B467C">
        <w:rPr>
          <w:rFonts w:ascii="Arial" w:hAnsi="Arial" w:cs="Arial"/>
          <w:snapToGrid/>
          <w:color w:val="000000"/>
          <w:sz w:val="22"/>
          <w:szCs w:val="22"/>
        </w:rPr>
        <w:t xml:space="preserve"> от «</w:t>
      </w:r>
      <w:r w:rsidR="002C36BB">
        <w:rPr>
          <w:rFonts w:ascii="Arial" w:hAnsi="Arial" w:cs="Arial"/>
          <w:snapToGrid/>
          <w:color w:val="000000"/>
          <w:sz w:val="22"/>
          <w:szCs w:val="22"/>
        </w:rPr>
        <w:t>2</w:t>
      </w:r>
      <w:r w:rsidR="000827E7">
        <w:rPr>
          <w:rFonts w:ascii="Arial" w:hAnsi="Arial" w:cs="Arial"/>
          <w:snapToGrid/>
          <w:color w:val="000000"/>
          <w:sz w:val="22"/>
          <w:szCs w:val="22"/>
        </w:rPr>
        <w:t>5</w:t>
      </w:r>
      <w:r w:rsidR="002B467C" w:rsidRPr="002B467C">
        <w:rPr>
          <w:rFonts w:ascii="Arial" w:hAnsi="Arial" w:cs="Arial"/>
          <w:snapToGrid/>
          <w:color w:val="000000"/>
          <w:sz w:val="22"/>
          <w:szCs w:val="22"/>
        </w:rPr>
        <w:t xml:space="preserve">» </w:t>
      </w:r>
      <w:r w:rsidR="002C36BB">
        <w:rPr>
          <w:rFonts w:ascii="Arial" w:hAnsi="Arial" w:cs="Arial"/>
          <w:snapToGrid/>
          <w:color w:val="000000"/>
          <w:sz w:val="22"/>
          <w:szCs w:val="22"/>
        </w:rPr>
        <w:t>декабря</w:t>
      </w:r>
      <w:r w:rsidR="002B467C" w:rsidRPr="002B467C">
        <w:rPr>
          <w:rFonts w:ascii="Arial" w:hAnsi="Arial" w:cs="Arial"/>
          <w:snapToGrid/>
          <w:color w:val="000000"/>
          <w:sz w:val="22"/>
          <w:szCs w:val="22"/>
        </w:rPr>
        <w:t xml:space="preserve"> 2018г.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2C36BB" w:rsidP="002C36BB">
            <w:pPr>
              <w:shd w:val="clear" w:color="auto" w:fill="FFFFFF"/>
              <w:spacing w:before="100" w:beforeAutospacing="1" w:after="100" w:afterAutospacing="1" w:line="240" w:lineRule="auto"/>
              <w:rPr>
                <w:rFonts w:ascii="Arial" w:hAnsi="Arial" w:cs="Arial"/>
                <w:bCs/>
                <w:sz w:val="22"/>
                <w:szCs w:val="22"/>
              </w:rPr>
            </w:pPr>
            <w:r w:rsidRPr="002C36BB">
              <w:rPr>
                <w:rFonts w:ascii="Arial" w:hAnsi="Arial" w:cs="Arial"/>
                <w:snapToGrid/>
                <w:color w:val="000000"/>
                <w:sz w:val="22"/>
                <w:szCs w:val="22"/>
              </w:rPr>
              <w:t>запасные части турбины К-800-240 для нужд филиалов ПАО «Юнипро».</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 </w:t>
            </w:r>
            <w:r w:rsidR="00102BF3" w:rsidRPr="00C43003">
              <w:rPr>
                <w:rFonts w:ascii="Arial" w:hAnsi="Arial" w:cs="Arial"/>
                <w:sz w:val="22"/>
                <w:szCs w:val="22"/>
              </w:rPr>
              <w:t>«Березовская ГРЭС»</w:t>
            </w:r>
            <w:r w:rsidR="00102BF3" w:rsidRPr="00C43003">
              <w:rPr>
                <w:rFonts w:ascii="Arial" w:hAnsi="Arial" w:cs="Arial"/>
                <w:b/>
                <w:sz w:val="22"/>
                <w:szCs w:val="22"/>
              </w:rPr>
              <w:t xml:space="preserve"> </w:t>
            </w:r>
            <w:r w:rsidR="00102BF3" w:rsidRPr="00C43003">
              <w:rPr>
                <w:rFonts w:ascii="Arial" w:hAnsi="Arial" w:cs="Arial"/>
                <w:sz w:val="22"/>
                <w:szCs w:val="22"/>
              </w:rPr>
              <w:t xml:space="preserve">Лот №1; 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102BF3" w:rsidRPr="00C43003" w:rsidRDefault="00102BF3" w:rsidP="00970BA7">
            <w:pPr>
              <w:spacing w:line="240" w:lineRule="auto"/>
              <w:ind w:firstLine="0"/>
              <w:jc w:val="left"/>
              <w:rPr>
                <w:rFonts w:ascii="Arial" w:hAnsi="Arial" w:cs="Arial"/>
                <w:color w:val="000000"/>
                <w:sz w:val="22"/>
                <w:szCs w:val="22"/>
              </w:rPr>
            </w:pPr>
            <w:r w:rsidRPr="00C43003">
              <w:rPr>
                <w:rFonts w:ascii="Arial" w:hAnsi="Arial" w:cs="Arial"/>
                <w:sz w:val="22"/>
                <w:szCs w:val="22"/>
              </w:rPr>
              <w:t xml:space="preserve">БГРЭС: </w:t>
            </w:r>
            <w:r w:rsidRPr="00C43003">
              <w:rPr>
                <w:rFonts w:ascii="Arial" w:hAnsi="Arial" w:cs="Arial"/>
                <w:color w:val="000000"/>
                <w:sz w:val="22"/>
                <w:szCs w:val="22"/>
              </w:rPr>
              <w:t>Россия, 662313 Красноярский край, Шарыповский район, промбаза Энергетиков д.1/15</w:t>
            </w:r>
          </w:p>
          <w:p w:rsidR="00BC5425" w:rsidRPr="00C43003" w:rsidRDefault="00BC5425" w:rsidP="00C13660">
            <w:pPr>
              <w:spacing w:line="300" w:lineRule="atLeast"/>
              <w:ind w:firstLine="0"/>
              <w:jc w:val="left"/>
              <w:rPr>
                <w:rFonts w:ascii="Arial" w:hAnsi="Arial" w:cs="Arial"/>
                <w:sz w:val="22"/>
                <w:szCs w:val="22"/>
                <w:lang w:eastAsia="en-US"/>
              </w:rPr>
            </w:pP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970BA7">
        <w:trPr>
          <w:trHeight w:val="129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970BA7">
            <w:pPr>
              <w:tabs>
                <w:tab w:val="left" w:pos="386"/>
              </w:tabs>
              <w:spacing w:line="240"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r w:rsidR="00D86547">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0827E7">
            <w:pPr>
              <w:tabs>
                <w:tab w:val="left" w:pos="386"/>
              </w:tabs>
              <w:spacing w:line="240"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2C36BB">
              <w:rPr>
                <w:rFonts w:ascii="Arial" w:hAnsi="Arial" w:cs="Arial"/>
                <w:sz w:val="22"/>
                <w:szCs w:val="22"/>
                <w:lang w:eastAsia="en-US"/>
              </w:rPr>
              <w:t>2</w:t>
            </w:r>
            <w:r w:rsidR="000827E7">
              <w:rPr>
                <w:rFonts w:ascii="Arial" w:hAnsi="Arial" w:cs="Arial"/>
                <w:sz w:val="22"/>
                <w:szCs w:val="22"/>
                <w:lang w:eastAsia="en-US"/>
              </w:rPr>
              <w:t>5</w:t>
            </w:r>
            <w:bookmarkStart w:id="4" w:name="_GoBack"/>
            <w:bookmarkEnd w:id="4"/>
            <w:r w:rsidRPr="00127140">
              <w:rPr>
                <w:rFonts w:ascii="Arial" w:hAnsi="Arial" w:cs="Arial"/>
                <w:sz w:val="22"/>
                <w:szCs w:val="22"/>
                <w:lang w:eastAsia="en-US"/>
              </w:rPr>
              <w:t>.</w:t>
            </w:r>
            <w:r w:rsidR="002C36BB">
              <w:rPr>
                <w:rFonts w:ascii="Arial" w:hAnsi="Arial" w:cs="Arial"/>
                <w:sz w:val="22"/>
                <w:szCs w:val="22"/>
                <w:lang w:eastAsia="en-US"/>
              </w:rPr>
              <w:t>12</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3E5B68">
              <w:rPr>
                <w:rFonts w:ascii="Arial" w:hAnsi="Arial" w:cs="Arial"/>
                <w:sz w:val="22"/>
                <w:szCs w:val="22"/>
                <w:lang w:eastAsia="en-US"/>
              </w:rPr>
              <w:t>8</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2B467C">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9B48FA">
              <w:rPr>
                <w:rFonts w:ascii="Arial" w:hAnsi="Arial" w:cs="Arial"/>
                <w:sz w:val="22"/>
                <w:szCs w:val="22"/>
                <w:lang w:eastAsia="en-US"/>
              </w:rPr>
              <w:t>0</w:t>
            </w:r>
            <w:r w:rsidR="002C36BB">
              <w:rPr>
                <w:rFonts w:ascii="Arial" w:hAnsi="Arial" w:cs="Arial"/>
                <w:sz w:val="22"/>
                <w:szCs w:val="22"/>
                <w:lang w:eastAsia="en-US"/>
              </w:rPr>
              <w:t>9</w:t>
            </w:r>
            <w:r w:rsidRPr="00D91C02">
              <w:rPr>
                <w:rFonts w:ascii="Arial" w:hAnsi="Arial" w:cs="Arial"/>
                <w:sz w:val="22"/>
                <w:szCs w:val="22"/>
                <w:lang w:eastAsia="en-US"/>
              </w:rPr>
              <w:t>.</w:t>
            </w:r>
            <w:r w:rsidR="002C36BB">
              <w:rPr>
                <w:rFonts w:ascii="Arial" w:hAnsi="Arial" w:cs="Arial"/>
                <w:sz w:val="22"/>
                <w:szCs w:val="22"/>
                <w:lang w:eastAsia="en-US"/>
              </w:rPr>
              <w:t>01</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2C36BB">
              <w:rPr>
                <w:rFonts w:ascii="Arial" w:hAnsi="Arial" w:cs="Arial"/>
                <w:sz w:val="22"/>
                <w:szCs w:val="22"/>
                <w:lang w:eastAsia="en-US"/>
              </w:rPr>
              <w:t>9</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C87DD0">
              <w:rPr>
                <w:rFonts w:ascii="Arial" w:hAnsi="Arial" w:cs="Arial"/>
                <w:sz w:val="22"/>
                <w:szCs w:val="22"/>
                <w:lang w:eastAsia="en-US"/>
              </w:rPr>
              <w:t>на бумажном носителе</w:t>
            </w:r>
          </w:p>
          <w:p w:rsidR="00C87DD0" w:rsidRPr="00C43003" w:rsidRDefault="00BC5425" w:rsidP="00C87DD0">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C87DD0" w:rsidRPr="00C43003">
              <w:rPr>
                <w:rFonts w:ascii="Arial" w:hAnsi="Arial" w:cs="Arial"/>
                <w:sz w:val="22"/>
                <w:szCs w:val="22"/>
                <w:lang w:eastAsia="en-US"/>
              </w:rPr>
              <w:t>Московское представительство ПАО «Юнипро»</w:t>
            </w:r>
          </w:p>
          <w:p w:rsidR="00CF7066" w:rsidRPr="00C43003" w:rsidRDefault="00C87DD0" w:rsidP="00C87DD0">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Почтовый адрес: 123317, г. Москва, Пресненская набережная, д. 10, блок B, этаж 23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2C36BB">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до </w:t>
            </w:r>
            <w:r w:rsidR="002C36BB">
              <w:rPr>
                <w:rFonts w:ascii="Arial" w:hAnsi="Arial" w:cs="Arial"/>
                <w:sz w:val="22"/>
                <w:szCs w:val="22"/>
                <w:lang w:eastAsia="en-US"/>
              </w:rPr>
              <w:t>28</w:t>
            </w:r>
            <w:r w:rsidRPr="00C43003">
              <w:rPr>
                <w:rFonts w:ascii="Arial" w:hAnsi="Arial" w:cs="Arial"/>
                <w:sz w:val="22"/>
                <w:szCs w:val="22"/>
                <w:lang w:eastAsia="en-US"/>
              </w:rPr>
              <w:t>.0</w:t>
            </w:r>
            <w:r w:rsidR="002C36BB">
              <w:rPr>
                <w:rFonts w:ascii="Arial" w:hAnsi="Arial" w:cs="Arial"/>
                <w:sz w:val="22"/>
                <w:szCs w:val="22"/>
                <w:lang w:eastAsia="en-US"/>
              </w:rPr>
              <w:t>2</w:t>
            </w:r>
            <w:r w:rsidRPr="00C43003">
              <w:rPr>
                <w:rFonts w:ascii="Arial" w:hAnsi="Arial" w:cs="Arial"/>
                <w:sz w:val="22"/>
                <w:szCs w:val="22"/>
                <w:lang w:eastAsia="en-US"/>
              </w:rPr>
              <w:t>.201</w:t>
            </w:r>
            <w:r w:rsidR="00F2483E">
              <w:rPr>
                <w:rFonts w:ascii="Arial" w:hAnsi="Arial" w:cs="Arial"/>
                <w:sz w:val="22"/>
                <w:szCs w:val="22"/>
                <w:lang w:eastAsia="en-US"/>
              </w:rPr>
              <w:t>9</w:t>
            </w:r>
            <w:r w:rsidRPr="00C43003">
              <w:rPr>
                <w:rFonts w:ascii="Arial" w:hAnsi="Arial" w:cs="Arial"/>
                <w:sz w:val="22"/>
                <w:szCs w:val="22"/>
                <w:lang w:eastAsia="en-US"/>
              </w:rPr>
              <w:t xml:space="preserve">г.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A64B92" w:rsidP="0075213C">
            <w:pPr>
              <w:spacing w:line="300" w:lineRule="atLeas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75213C" w:rsidRPr="00C43003">
              <w:rPr>
                <w:rFonts w:ascii="Arial" w:hAnsi="Arial" w:cs="Arial"/>
                <w:b/>
                <w:bCs/>
                <w:color w:val="000000"/>
                <w:sz w:val="22"/>
                <w:szCs w:val="22"/>
              </w:rPr>
              <w:t xml:space="preserve"> филиал «Березовская ГРЭС»</w:t>
            </w:r>
            <w:r w:rsidR="0075213C" w:rsidRPr="00C43003">
              <w:rPr>
                <w:rFonts w:ascii="Arial" w:hAnsi="Arial" w:cs="Arial"/>
                <w:color w:val="000000"/>
                <w:sz w:val="22"/>
                <w:szCs w:val="22"/>
              </w:rPr>
              <w:t xml:space="preserve"> </w:t>
            </w:r>
            <w:r w:rsidR="00ED40CF">
              <w:rPr>
                <w:rFonts w:ascii="Arial" w:hAnsi="Arial" w:cs="Arial"/>
                <w:color w:val="000000"/>
                <w:sz w:val="22"/>
                <w:szCs w:val="22"/>
              </w:rPr>
              <w:t>П</w:t>
            </w:r>
            <w:r w:rsidR="0075213C" w:rsidRPr="00C43003">
              <w:rPr>
                <w:rFonts w:ascii="Arial" w:hAnsi="Arial" w:cs="Arial"/>
                <w:color w:val="000000"/>
                <w:sz w:val="22"/>
                <w:szCs w:val="22"/>
              </w:rPr>
              <w:t>АО «</w:t>
            </w:r>
            <w:r w:rsidR="00ED40CF">
              <w:rPr>
                <w:rFonts w:ascii="Arial" w:hAnsi="Arial" w:cs="Arial"/>
                <w:color w:val="000000"/>
                <w:sz w:val="22"/>
                <w:szCs w:val="22"/>
              </w:rPr>
              <w:t>Юнипро</w:t>
            </w:r>
            <w:r w:rsidR="0075213C" w:rsidRPr="00C43003">
              <w:rPr>
                <w:rFonts w:ascii="Arial" w:hAnsi="Arial" w:cs="Arial"/>
                <w:color w:val="000000"/>
                <w:sz w:val="22"/>
                <w:szCs w:val="22"/>
              </w:rPr>
              <w:t>»</w:t>
            </w:r>
          </w:p>
          <w:p w:rsidR="0075213C" w:rsidRPr="00C43003" w:rsidRDefault="0075213C" w:rsidP="0075213C">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Шарыповский район, промбаза Энергетиков </w:t>
            </w:r>
            <w:r w:rsidRPr="00C43003">
              <w:rPr>
                <w:rFonts w:ascii="Arial" w:hAnsi="Arial" w:cs="Arial"/>
                <w:color w:val="000000"/>
                <w:sz w:val="22"/>
                <w:szCs w:val="22"/>
              </w:rPr>
              <w:lastRenderedPageBreak/>
              <w:t>д.1/15, а/я 6-3/40</w:t>
            </w:r>
          </w:p>
          <w:p w:rsidR="0075213C" w:rsidRPr="00C43003" w:rsidRDefault="0075213C" w:rsidP="0075213C">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75213C" w:rsidRPr="00C43003" w:rsidRDefault="0075213C" w:rsidP="0075213C">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75213C" w:rsidRPr="00C43003" w:rsidRDefault="0075213C" w:rsidP="0075213C">
            <w:pPr>
              <w:spacing w:line="240" w:lineRule="auto"/>
              <w:ind w:firstLine="0"/>
              <w:rPr>
                <w:rFonts w:ascii="Arial" w:hAnsi="Arial" w:cs="Arial"/>
                <w:sz w:val="22"/>
                <w:szCs w:val="22"/>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p>
          <w:p w:rsidR="00BC5425" w:rsidRPr="00C43003" w:rsidRDefault="00A84124"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2B467C" w:rsidP="002B467C">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sidRPr="00AB3B4C">
              <w:rPr>
                <w:rFonts w:ascii="Arial" w:hAnsi="Arial" w:cs="Arial"/>
                <w:b/>
                <w:sz w:val="22"/>
              </w:rPr>
              <w:t>принимаются</w:t>
            </w:r>
          </w:p>
          <w:p w:rsidR="003E7391" w:rsidRPr="00C43003" w:rsidRDefault="002B467C" w:rsidP="001E7707">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2B467C">
              <w:rPr>
                <w:rFonts w:ascii="Arial" w:hAnsi="Arial" w:cs="Arial"/>
                <w:b/>
                <w:sz w:val="22"/>
              </w:rPr>
              <w:t xml:space="preserve">на </w:t>
            </w:r>
            <w:r w:rsidR="002B467C" w:rsidRPr="002B467C">
              <w:rPr>
                <w:rFonts w:ascii="Arial" w:hAnsi="Arial" w:cs="Arial"/>
                <w:b/>
                <w:sz w:val="22"/>
              </w:rPr>
              <w:t>бумажном</w:t>
            </w:r>
            <w:r w:rsidR="001448AE" w:rsidRPr="002B467C">
              <w:rPr>
                <w:rFonts w:ascii="Arial" w:hAnsi="Arial" w:cs="Arial"/>
                <w:b/>
                <w:sz w:val="22"/>
              </w:rPr>
              <w:t xml:space="preserve"> носителе</w:t>
            </w:r>
            <w:r w:rsidR="001448AE" w:rsidRPr="00C43003">
              <w:rPr>
                <w:rFonts w:ascii="Arial" w:hAnsi="Arial" w:cs="Arial"/>
                <w:sz w:val="22"/>
              </w:rPr>
              <w:t xml:space="preserve">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r w:rsidR="002B467C">
              <w:rPr>
                <w:rFonts w:ascii="Arial" w:hAnsi="Arial" w:cs="Arial"/>
                <w:b/>
                <w:sz w:val="22"/>
              </w:rPr>
              <w:t xml:space="preserve"> на электронном носителе</w:t>
            </w:r>
            <w:r w:rsidR="00526BD4"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w:t>
            </w:r>
            <w:r w:rsidRPr="00AB3B4C">
              <w:rPr>
                <w:rFonts w:ascii="Arial" w:hAnsi="Arial" w:cs="Arial"/>
                <w:b/>
                <w:sz w:val="22"/>
              </w:rPr>
              <w:t xml:space="preserve">(без указания </w:t>
            </w:r>
            <w:r w:rsidR="00FA500C" w:rsidRPr="00AB3B4C">
              <w:rPr>
                <w:rFonts w:ascii="Arial" w:hAnsi="Arial" w:cs="Arial"/>
                <w:b/>
                <w:sz w:val="22"/>
              </w:rPr>
              <w:t>коммерческой информации (</w:t>
            </w:r>
            <w:r w:rsidRPr="00AB3B4C">
              <w:rPr>
                <w:rFonts w:ascii="Arial" w:hAnsi="Arial" w:cs="Arial"/>
                <w:b/>
                <w:sz w:val="22"/>
              </w:rPr>
              <w:t>стоимости предложения</w:t>
            </w:r>
            <w:r w:rsidR="00AC18D9" w:rsidRPr="00AB3B4C">
              <w:rPr>
                <w:rFonts w:ascii="Arial" w:hAnsi="Arial" w:cs="Arial"/>
                <w:b/>
                <w:sz w:val="22"/>
              </w:rPr>
              <w:t>/</w:t>
            </w:r>
            <w:r w:rsidRPr="00AB3B4C">
              <w:rPr>
                <w:rFonts w:ascii="Arial" w:hAnsi="Arial" w:cs="Arial"/>
                <w:b/>
                <w:sz w:val="22"/>
              </w:rPr>
              <w:t>цен)</w:t>
            </w:r>
            <w:r w:rsidR="00FA500C" w:rsidRPr="00AB3B4C">
              <w:rPr>
                <w:rFonts w:ascii="Arial" w:hAnsi="Arial" w:cs="Arial"/>
                <w:b/>
                <w:sz w:val="22"/>
              </w:rPr>
              <w:t>)</w:t>
            </w:r>
            <w:r w:rsidRPr="00AB3B4C">
              <w:rPr>
                <w:rFonts w:ascii="Arial" w:hAnsi="Arial" w:cs="Arial"/>
                <w:b/>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w:t>
            </w:r>
            <w:r w:rsidRPr="00C43003">
              <w:rPr>
                <w:rFonts w:ascii="Arial" w:hAnsi="Arial" w:cs="Arial"/>
                <w:sz w:val="22"/>
                <w:szCs w:val="22"/>
              </w:rPr>
              <w:lastRenderedPageBreak/>
              <w:t xml:space="preserve">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EB2C37">
        <w:rPr>
          <w:rFonts w:ascii="Arial" w:hAnsi="Arial" w:cs="Arial"/>
          <w:color w:val="000000"/>
          <w:sz w:val="22"/>
          <w:szCs w:val="22"/>
        </w:rPr>
        <w:t>ПАО</w:t>
      </w:r>
      <w:r w:rsidR="00D20281" w:rsidRPr="00A0776B">
        <w:rPr>
          <w:rFonts w:ascii="Arial" w:hAnsi="Arial" w:cs="Arial"/>
          <w:color w:val="000000"/>
          <w:sz w:val="22"/>
          <w:szCs w:val="22"/>
        </w:rPr>
        <w:t xml:space="preserve"> «</w:t>
      </w:r>
      <w:r w:rsidR="00EB2C37">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CDE" w:rsidRDefault="000A5CDE">
      <w:r>
        <w:separator/>
      </w:r>
    </w:p>
  </w:endnote>
  <w:endnote w:type="continuationSeparator" w:id="0">
    <w:p w:rsidR="000A5CDE" w:rsidRDefault="000A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0827E7">
          <w:rPr>
            <w:noProof/>
          </w:rPr>
          <w:t>5</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CDE" w:rsidRDefault="000A5CDE">
      <w:r>
        <w:separator/>
      </w:r>
    </w:p>
  </w:footnote>
  <w:footnote w:type="continuationSeparator" w:id="0">
    <w:p w:rsidR="000A5CDE" w:rsidRDefault="000A5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82D"/>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27E7"/>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5CDE"/>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3403"/>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C94"/>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9DB"/>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4EA"/>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67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6BB"/>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5B68"/>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81F"/>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5194"/>
    <w:rsid w:val="004A6BC7"/>
    <w:rsid w:val="004A6C4E"/>
    <w:rsid w:val="004A7768"/>
    <w:rsid w:val="004B0859"/>
    <w:rsid w:val="004B10D3"/>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1A3"/>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00D7"/>
    <w:rsid w:val="00970BA7"/>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8F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830"/>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1528"/>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B4C"/>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87DD0"/>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36C2"/>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4DC"/>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59AC"/>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2C3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483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82BFFA"/>
  <w15:docId w15:val="{3A3E305D-B316-48E7-ACFC-0070B0C3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1988F7-C28B-4579-A796-0F33C4FF0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28</Pages>
  <Words>4948</Words>
  <Characters>28207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66</cp:revision>
  <cp:lastPrinted>2017-09-11T11:04:00Z</cp:lastPrinted>
  <dcterms:created xsi:type="dcterms:W3CDTF">2015-09-04T07:33:00Z</dcterms:created>
  <dcterms:modified xsi:type="dcterms:W3CDTF">2018-12-25T08:49:00Z</dcterms:modified>
</cp:coreProperties>
</file>