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205FF">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1205FF">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1205FF">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1205FF">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5D72B6" w:rsidRPr="005D72B6">
        <w:rPr>
          <w:rFonts w:ascii="Arial" w:hAnsi="Arial" w:cs="Arial"/>
          <w:snapToGrid/>
          <w:color w:val="000000"/>
          <w:sz w:val="22"/>
          <w:szCs w:val="22"/>
        </w:rPr>
        <w:t>5190083 от «20» ноября 2018г.</w:t>
      </w:r>
      <w:r w:rsidR="006853F2" w:rsidRPr="006853F2">
        <w:rPr>
          <w:rFonts w:ascii="Arial" w:hAnsi="Arial" w:cs="Arial"/>
          <w:color w:val="000000"/>
          <w:sz w:val="22"/>
          <w:szCs w:val="22"/>
        </w:rPr>
        <w:t xml:space="preserve">   </w:t>
      </w:r>
      <w:r w:rsidRPr="00A0776B">
        <w:rPr>
          <w:rFonts w:ascii="Arial" w:hAnsi="Arial" w:cs="Arial"/>
          <w:sz w:val="22"/>
          <w:szCs w:val="22"/>
        </w:rPr>
        <w:t xml:space="preserve">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5D72B6" w:rsidP="005D72B6">
            <w:pPr>
              <w:shd w:val="clear" w:color="auto" w:fill="FFFFFF"/>
              <w:spacing w:line="240" w:lineRule="auto"/>
              <w:ind w:firstLine="0"/>
              <w:rPr>
                <w:rFonts w:ascii="Arial" w:hAnsi="Arial" w:cs="Arial"/>
                <w:bCs/>
                <w:sz w:val="22"/>
                <w:szCs w:val="22"/>
              </w:rPr>
            </w:pPr>
            <w:r w:rsidRPr="005D72B6">
              <w:rPr>
                <w:rFonts w:ascii="Arial" w:hAnsi="Arial" w:cs="Arial"/>
                <w:snapToGrid/>
                <w:color w:val="000000"/>
                <w:sz w:val="22"/>
                <w:szCs w:val="22"/>
              </w:rPr>
              <w:t>запасные части генератора ТВВ 800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D438DD" w:rsidP="006853F2">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6853F2">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6853F2">
              <w:rPr>
                <w:rFonts w:ascii="Arial" w:hAnsi="Arial" w:cs="Arial"/>
                <w:sz w:val="22"/>
                <w:szCs w:val="22"/>
                <w:lang w:eastAsia="en-US"/>
              </w:rPr>
              <w:t>1</w:t>
            </w:r>
            <w:r w:rsidR="00FA6140">
              <w:rPr>
                <w:rFonts w:ascii="Arial" w:hAnsi="Arial" w:cs="Arial"/>
                <w:sz w:val="22"/>
                <w:szCs w:val="22"/>
                <w:lang w:eastAsia="en-US"/>
              </w:rPr>
              <w:t>2</w:t>
            </w:r>
            <w:r w:rsidRPr="00127140">
              <w:rPr>
                <w:rFonts w:ascii="Arial" w:hAnsi="Arial" w:cs="Arial"/>
                <w:sz w:val="22"/>
                <w:szCs w:val="22"/>
                <w:lang w:eastAsia="en-US"/>
              </w:rPr>
              <w:t>.</w:t>
            </w:r>
            <w:r w:rsidR="006853F2">
              <w:rPr>
                <w:rFonts w:ascii="Arial" w:hAnsi="Arial" w:cs="Arial"/>
                <w:sz w:val="22"/>
                <w:szCs w:val="22"/>
                <w:lang w:eastAsia="en-US"/>
              </w:rPr>
              <w:t>11</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5D72B6">
              <w:rPr>
                <w:rFonts w:ascii="Arial" w:hAnsi="Arial" w:cs="Arial"/>
                <w:sz w:val="22"/>
                <w:szCs w:val="22"/>
                <w:lang w:eastAsia="en-US"/>
              </w:rPr>
              <w:t>5</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5D72B6">
              <w:rPr>
                <w:rFonts w:ascii="Arial" w:hAnsi="Arial" w:cs="Arial"/>
                <w:sz w:val="22"/>
                <w:szCs w:val="22"/>
                <w:lang w:eastAsia="en-US"/>
              </w:rPr>
              <w:t>03</w:t>
            </w:r>
            <w:r w:rsidRPr="00D91C02">
              <w:rPr>
                <w:rFonts w:ascii="Arial" w:hAnsi="Arial" w:cs="Arial"/>
                <w:sz w:val="22"/>
                <w:szCs w:val="22"/>
                <w:lang w:eastAsia="en-US"/>
              </w:rPr>
              <w:t>.</w:t>
            </w:r>
            <w:r w:rsidR="006853F2">
              <w:rPr>
                <w:rFonts w:ascii="Arial" w:hAnsi="Arial" w:cs="Arial"/>
                <w:sz w:val="22"/>
                <w:szCs w:val="22"/>
                <w:lang w:eastAsia="en-US"/>
              </w:rPr>
              <w:t>1</w:t>
            </w:r>
            <w:r w:rsidR="005D72B6">
              <w:rPr>
                <w:rFonts w:ascii="Arial" w:hAnsi="Arial" w:cs="Arial"/>
                <w:sz w:val="22"/>
                <w:szCs w:val="22"/>
                <w:lang w:eastAsia="en-US"/>
              </w:rPr>
              <w:t>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5D72B6">
              <w:rPr>
                <w:rFonts w:ascii="Arial" w:hAnsi="Arial" w:cs="Arial"/>
                <w:sz w:val="22"/>
                <w:szCs w:val="22"/>
                <w:lang w:eastAsia="en-US"/>
              </w:rPr>
              <w:t>28</w:t>
            </w:r>
            <w:r w:rsidRPr="00C43003">
              <w:rPr>
                <w:rFonts w:ascii="Arial" w:hAnsi="Arial" w:cs="Arial"/>
                <w:sz w:val="22"/>
                <w:szCs w:val="22"/>
                <w:lang w:eastAsia="en-US"/>
              </w:rPr>
              <w:t>.0</w:t>
            </w:r>
            <w:r w:rsidR="005D72B6">
              <w:rPr>
                <w:rFonts w:ascii="Arial" w:hAnsi="Arial" w:cs="Arial"/>
                <w:sz w:val="22"/>
                <w:szCs w:val="22"/>
                <w:lang w:eastAsia="en-US"/>
              </w:rPr>
              <w:t>6</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p w:rsidR="00D91C02" w:rsidRPr="00C43003" w:rsidRDefault="00D91C02" w:rsidP="00BD49C8">
            <w:pPr>
              <w:tabs>
                <w:tab w:val="left" w:pos="0"/>
                <w:tab w:val="left" w:pos="5657"/>
              </w:tabs>
              <w:spacing w:line="276" w:lineRule="auto"/>
              <w:ind w:left="540" w:right="153" w:hanging="540"/>
              <w:jc w:val="left"/>
              <w:rPr>
                <w:rFonts w:ascii="Arial" w:hAnsi="Arial" w:cs="Arial"/>
                <w:b/>
                <w:i/>
                <w:sz w:val="22"/>
                <w:szCs w:val="22"/>
                <w:lang w:eastAsia="en-US"/>
              </w:rPr>
            </w:pP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w:t>
            </w:r>
            <w:r w:rsidRPr="00C43003">
              <w:rPr>
                <w:rFonts w:ascii="Arial" w:hAnsi="Arial" w:cs="Arial"/>
                <w:color w:val="000000"/>
                <w:sz w:val="22"/>
                <w:szCs w:val="22"/>
              </w:rPr>
              <w:lastRenderedPageBreak/>
              <w:t>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854AED" w:rsidRPr="00C43003" w:rsidRDefault="00FA6140" w:rsidP="006853F2">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854AED"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6853F2" w:rsidP="006853F2">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5D72B6" w:rsidP="00045DF3">
            <w:pPr>
              <w:spacing w:line="276" w:lineRule="auto"/>
              <w:ind w:firstLine="0"/>
              <w:contextualSpacing/>
              <w:rPr>
                <w:rFonts w:ascii="Arial" w:hAnsi="Arial" w:cs="Arial"/>
                <w:sz w:val="22"/>
                <w:szCs w:val="22"/>
              </w:rPr>
            </w:pPr>
            <w:r>
              <w:rPr>
                <w:rFonts w:ascii="Arial" w:hAnsi="Arial" w:cs="Arial"/>
                <w:sz w:val="22"/>
                <w:szCs w:val="22"/>
              </w:rPr>
              <w:t>Не д</w:t>
            </w:r>
            <w:bookmarkStart w:id="4" w:name="_GoBack"/>
            <w:bookmarkEnd w:id="4"/>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5FF" w:rsidRDefault="001205FF">
      <w:r>
        <w:separator/>
      </w:r>
    </w:p>
  </w:endnote>
  <w:endnote w:type="continuationSeparator" w:id="0">
    <w:p w:rsidR="001205FF" w:rsidRDefault="0012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5D72B6">
          <w:rPr>
            <w:noProof/>
          </w:rPr>
          <w:t>5</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5FF" w:rsidRDefault="001205FF">
      <w:r>
        <w:separator/>
      </w:r>
    </w:p>
  </w:footnote>
  <w:footnote w:type="continuationSeparator" w:id="0">
    <w:p w:rsidR="001205FF" w:rsidRDefault="00120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5FF"/>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2B6"/>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53F2"/>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942"/>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A17E2"/>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C9E3E-FCE0-452B-AE62-D357D2AA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28</Pages>
  <Words>4934</Words>
  <Characters>28127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64</cp:revision>
  <cp:lastPrinted>2015-12-04T08:31:00Z</cp:lastPrinted>
  <dcterms:created xsi:type="dcterms:W3CDTF">2015-09-04T07:33:00Z</dcterms:created>
  <dcterms:modified xsi:type="dcterms:W3CDTF">2018-11-20T13:06:00Z</dcterms:modified>
</cp:coreProperties>
</file>