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251110">
        <w:rPr>
          <w:rFonts w:ascii="Arial" w:hAnsi="Arial" w:cs="Arial"/>
          <w:b/>
          <w:sz w:val="20"/>
        </w:rPr>
        <w:t>369</w:t>
      </w:r>
      <w:r w:rsidRPr="008B6CB9">
        <w:rPr>
          <w:rFonts w:ascii="Arial" w:hAnsi="Arial" w:cs="Arial"/>
          <w:b/>
          <w:sz w:val="20"/>
        </w:rPr>
        <w:t>/ПУ от «</w:t>
      </w:r>
      <w:r w:rsidR="00251110">
        <w:rPr>
          <w:rFonts w:ascii="Arial" w:hAnsi="Arial" w:cs="Arial"/>
          <w:b/>
          <w:sz w:val="20"/>
        </w:rPr>
        <w:t>07</w:t>
      </w:r>
      <w:r w:rsidRPr="008B6CB9">
        <w:rPr>
          <w:rFonts w:ascii="Arial" w:hAnsi="Arial" w:cs="Arial"/>
          <w:b/>
          <w:sz w:val="20"/>
        </w:rPr>
        <w:t xml:space="preserve">» </w:t>
      </w:r>
      <w:r w:rsidR="00251110">
        <w:rPr>
          <w:rFonts w:ascii="Arial" w:hAnsi="Arial" w:cs="Arial"/>
          <w:b/>
          <w:sz w:val="20"/>
        </w:rPr>
        <w:t>ноября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п/п п</w:t>
            </w:r>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DE0A1D" w:rsidRDefault="000357E1" w:rsidP="00B13698">
            <w:pPr>
              <w:spacing w:line="288" w:lineRule="auto"/>
              <w:ind w:firstLine="0"/>
              <w:rPr>
                <w:sz w:val="22"/>
                <w:szCs w:val="22"/>
              </w:rPr>
            </w:pPr>
            <w:r>
              <w:rPr>
                <w:sz w:val="22"/>
                <w:szCs w:val="22"/>
              </w:rPr>
              <w:t xml:space="preserve">Выполнение </w:t>
            </w:r>
            <w:r w:rsidR="00251110">
              <w:rPr>
                <w:sz w:val="22"/>
                <w:szCs w:val="22"/>
              </w:rPr>
              <w:t>услуг по санитарному содержанию п</w:t>
            </w:r>
            <w:r w:rsidR="00B13698">
              <w:rPr>
                <w:sz w:val="22"/>
                <w:szCs w:val="22"/>
              </w:rPr>
              <w:t>лощадки</w:t>
            </w:r>
            <w:r w:rsidR="00251110">
              <w:rPr>
                <w:sz w:val="22"/>
                <w:szCs w:val="22"/>
              </w:rPr>
              <w:t xml:space="preserve"> и прилегающих территорий</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«Юнипро»</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 xml:space="preserve">ООО «Юнипро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0"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«Юнипро», Раздел «Закупки»:</w:t>
            </w:r>
            <w:r w:rsidRPr="00DE0A1D">
              <w:rPr>
                <w:spacing w:val="-6"/>
                <w:sz w:val="22"/>
                <w:szCs w:val="22"/>
              </w:rPr>
              <w:t xml:space="preserve">  (</w:t>
            </w:r>
            <w:hyperlink r:id="rId11"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251110">
              <w:rPr>
                <w:b/>
                <w:sz w:val="22"/>
                <w:szCs w:val="22"/>
                <w:lang w:eastAsia="en-US"/>
              </w:rPr>
              <w:t>07.11</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251110">
              <w:rPr>
                <w:b/>
                <w:sz w:val="22"/>
                <w:szCs w:val="22"/>
                <w:lang w:eastAsia="en-US"/>
              </w:rPr>
              <w:t>27.11</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w:t>
            </w:r>
            <w:r w:rsidRPr="00DE0A1D">
              <w:rPr>
                <w:sz w:val="22"/>
                <w:szCs w:val="22"/>
                <w:lang w:eastAsia="en-US"/>
              </w:rPr>
              <w:lastRenderedPageBreak/>
              <w:t>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Промбаза Энергетиков 5, здание конторы КЭС, каб. 109 </w:t>
            </w:r>
            <w:r w:rsidRPr="00DE0A1D">
              <w:rPr>
                <w:b/>
                <w:sz w:val="22"/>
                <w:szCs w:val="22"/>
              </w:rPr>
              <w:t xml:space="preserve"> </w:t>
            </w:r>
          </w:p>
        </w:tc>
        <w:bookmarkStart w:id="1" w:name="_GoBack"/>
        <w:bookmarkEnd w:id="1"/>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251110">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251110">
              <w:rPr>
                <w:b/>
                <w:sz w:val="22"/>
                <w:szCs w:val="22"/>
                <w:lang w:eastAsia="en-US"/>
              </w:rPr>
              <w:t>01</w:t>
            </w:r>
            <w:r>
              <w:rPr>
                <w:b/>
                <w:sz w:val="22"/>
                <w:szCs w:val="22"/>
                <w:lang w:eastAsia="en-US"/>
              </w:rPr>
              <w:t xml:space="preserve"> </w:t>
            </w:r>
            <w:r w:rsidR="00251110">
              <w:rPr>
                <w:b/>
                <w:sz w:val="22"/>
                <w:szCs w:val="22"/>
                <w:lang w:eastAsia="en-US"/>
              </w:rPr>
              <w:t xml:space="preserve">января 2019г </w:t>
            </w:r>
            <w:r>
              <w:rPr>
                <w:b/>
                <w:sz w:val="22"/>
                <w:szCs w:val="22"/>
                <w:lang w:eastAsia="en-US"/>
              </w:rPr>
              <w:t>-</w:t>
            </w:r>
            <w:r w:rsidR="00251110">
              <w:rPr>
                <w:b/>
                <w:sz w:val="22"/>
                <w:szCs w:val="22"/>
                <w:lang w:eastAsia="en-US"/>
              </w:rPr>
              <w:t>28 июля</w:t>
            </w:r>
            <w:r>
              <w:rPr>
                <w:b/>
                <w:sz w:val="22"/>
                <w:szCs w:val="22"/>
                <w:lang w:eastAsia="en-US"/>
              </w:rPr>
              <w:t xml:space="preserve"> </w:t>
            </w:r>
            <w:r w:rsidRPr="00DE0A1D">
              <w:rPr>
                <w:b/>
                <w:sz w:val="22"/>
                <w:szCs w:val="22"/>
                <w:lang w:eastAsia="en-US"/>
              </w:rPr>
              <w:t>201</w:t>
            </w:r>
            <w:r w:rsidR="00251110">
              <w:rPr>
                <w:b/>
                <w:sz w:val="22"/>
                <w:szCs w:val="22"/>
                <w:lang w:eastAsia="en-US"/>
              </w:rPr>
              <w:t>9</w:t>
            </w:r>
            <w:r w:rsidR="00FC00E7">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Промбаза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Требования к оформлению скан-копий</w:t>
            </w:r>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r w:rsidRPr="00DE0A1D">
              <w:rPr>
                <w:i/>
                <w:snapToGrid/>
                <w:sz w:val="22"/>
                <w:szCs w:val="22"/>
                <w:lang w:val="en-US"/>
              </w:rPr>
              <w:t>pdf</w:t>
            </w:r>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E0A1D">
              <w:rPr>
                <w:i/>
                <w:snapToGrid/>
                <w:sz w:val="22"/>
                <w:szCs w:val="22"/>
                <w:lang w:val="en-US"/>
              </w:rPr>
              <w:t>pdf</w:t>
            </w:r>
            <w:r w:rsidRPr="00DE0A1D">
              <w:rPr>
                <w:i/>
                <w:snapToGrid/>
                <w:sz w:val="22"/>
                <w:szCs w:val="22"/>
              </w:rPr>
              <w:t xml:space="preserve"> (10 Мб), Устав часть 2.</w:t>
            </w:r>
            <w:r w:rsidRPr="00DE0A1D">
              <w:rPr>
                <w:i/>
                <w:snapToGrid/>
                <w:sz w:val="22"/>
                <w:szCs w:val="22"/>
                <w:lang w:val="en-US"/>
              </w:rPr>
              <w:t>pdf</w:t>
            </w:r>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DE0A1D">
                <w:rPr>
                  <w:color w:val="0000FF"/>
                  <w:sz w:val="22"/>
                  <w:szCs w:val="22"/>
                  <w:u w:val="single"/>
                  <w:lang w:eastAsia="en-US"/>
                </w:rPr>
                <w:t>http://www.</w:t>
              </w:r>
              <w:r w:rsidRPr="00DE0A1D">
                <w:rPr>
                  <w:sz w:val="22"/>
                  <w:szCs w:val="22"/>
                  <w:lang w:eastAsia="en-US"/>
                </w:rPr>
                <w:t xml:space="preserve"> </w:t>
              </w:r>
              <w:r w:rsidRPr="00DE0A1D">
                <w:rPr>
                  <w:color w:val="0000FF"/>
                  <w:sz w:val="22"/>
                  <w:szCs w:val="22"/>
                  <w:u w:val="single"/>
                  <w:lang w:eastAsia="en-US"/>
                </w:rPr>
                <w:t>unipro.energy /purchase/accreditation/</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C7E" w:rsidRDefault="00A80C7E">
      <w:r>
        <w:separator/>
      </w:r>
    </w:p>
  </w:endnote>
  <w:endnote w:type="continuationSeparator" w:id="0">
    <w:p w:rsidR="00A80C7E" w:rsidRDefault="00A8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13698">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C7E" w:rsidRDefault="00A80C7E">
      <w:r>
        <w:separator/>
      </w:r>
    </w:p>
  </w:footnote>
  <w:footnote w:type="continuationSeparator" w:id="0">
    <w:p w:rsidR="00A80C7E" w:rsidRDefault="00A80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7E1"/>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1110"/>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37C95"/>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1AD"/>
    <w:rsid w:val="00A8077D"/>
    <w:rsid w:val="00A80C7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698"/>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0BD4"/>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0E7"/>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D01067-2EFB-424D-AF01-6C45DED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uc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44E98-082E-4B7B-9B99-972AA0CB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75</cp:revision>
  <cp:lastPrinted>2016-01-19T10:46:00Z</cp:lastPrinted>
  <dcterms:created xsi:type="dcterms:W3CDTF">2015-08-18T13:20:00Z</dcterms:created>
  <dcterms:modified xsi:type="dcterms:W3CDTF">2018-11-07T04:14:00Z</dcterms:modified>
</cp:coreProperties>
</file>