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3</w:t>
        </w:r>
        <w:r w:rsidR="001F2C0F" w:rsidRPr="00AE5DB2">
          <w:rPr>
            <w:rFonts w:ascii="Arial" w:hAnsi="Arial" w:cs="Arial"/>
            <w:webHidden/>
          </w:rPr>
          <w:fldChar w:fldCharType="end"/>
        </w:r>
      </w:hyperlink>
    </w:p>
    <w:p w:rsidR="001F2C0F" w:rsidRPr="00AE5DB2" w:rsidRDefault="00A72CDB">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10</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13</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15</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17</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20</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22</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24</w:t>
        </w:r>
        <w:r w:rsidR="001F2C0F" w:rsidRPr="00AE5DB2">
          <w:rPr>
            <w:rFonts w:ascii="Arial" w:hAnsi="Arial" w:cs="Arial"/>
            <w:webHidden/>
          </w:rPr>
          <w:fldChar w:fldCharType="end"/>
        </w:r>
      </w:hyperlink>
    </w:p>
    <w:p w:rsidR="001F2C0F" w:rsidRPr="00AE5DB2" w:rsidRDefault="00A72CDB">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26</w:t>
        </w:r>
        <w:r w:rsidR="001F2C0F" w:rsidRPr="00AE5DB2">
          <w:rPr>
            <w:rFonts w:ascii="Arial" w:hAnsi="Arial" w:cs="Arial"/>
            <w:webHidden/>
          </w:rPr>
          <w:fldChar w:fldCharType="end"/>
        </w:r>
      </w:hyperlink>
    </w:p>
    <w:p w:rsidR="001F2C0F" w:rsidRPr="00AE5DB2" w:rsidRDefault="00A72CDB">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28</w:t>
        </w:r>
        <w:r w:rsidR="001F2C0F" w:rsidRPr="00AE5DB2">
          <w:rPr>
            <w:rFonts w:ascii="Arial" w:hAnsi="Arial" w:cs="Arial"/>
            <w:webHidden/>
          </w:rPr>
          <w:fldChar w:fldCharType="end"/>
        </w:r>
      </w:hyperlink>
    </w:p>
    <w:p w:rsidR="001F2C0F" w:rsidRPr="00AE5DB2" w:rsidRDefault="00A72CDB">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5879D6">
        <w:rPr>
          <w:sz w:val="22"/>
          <w:szCs w:val="22"/>
        </w:rPr>
        <w:t xml:space="preserve">№ </w:t>
      </w:r>
      <w:r w:rsidR="00516B14">
        <w:rPr>
          <w:sz w:val="22"/>
          <w:szCs w:val="22"/>
        </w:rPr>
        <w:t>61902</w:t>
      </w:r>
      <w:r w:rsidR="009114DA">
        <w:rPr>
          <w:sz w:val="22"/>
          <w:szCs w:val="22"/>
        </w:rPr>
        <w:t>57</w:t>
      </w:r>
      <w:r w:rsidR="00516B14">
        <w:rPr>
          <w:sz w:val="22"/>
          <w:szCs w:val="22"/>
        </w:rPr>
        <w:t>-1</w:t>
      </w:r>
      <w:r w:rsidR="009114DA">
        <w:rPr>
          <w:sz w:val="22"/>
          <w:szCs w:val="22"/>
        </w:rPr>
        <w:t>, № 6190232-1, № 6190106-1, № 6190111-1 от 06.11.</w:t>
      </w:r>
      <w:r w:rsidR="00222F94">
        <w:rPr>
          <w:sz w:val="22"/>
          <w:szCs w:val="22"/>
        </w:rPr>
        <w:t xml:space="preserve">2018 г.,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9114DA">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AC212A">
              <w:rPr>
                <w:sz w:val="22"/>
                <w:szCs w:val="22"/>
              </w:rPr>
              <w:t>х</w:t>
            </w:r>
            <w:bookmarkStart w:id="4" w:name="_GoBack"/>
            <w:bookmarkEnd w:id="4"/>
            <w:r w:rsidR="009114DA">
              <w:rPr>
                <w:sz w:val="22"/>
                <w:szCs w:val="22"/>
              </w:rPr>
              <w:t>имических реактивов, лабораторного оборудования и принадлежностей</w:t>
            </w:r>
            <w:r w:rsidR="00516B14">
              <w:rPr>
                <w:rFonts w:ascii="Arial" w:hAnsi="Arial" w:cs="Arial"/>
                <w:sz w:val="20"/>
              </w:rPr>
              <w:t xml:space="preserve"> </w:t>
            </w:r>
            <w:r w:rsidR="001B4059">
              <w:rPr>
                <w:sz w:val="22"/>
                <w:szCs w:val="22"/>
              </w:rPr>
              <w:t>для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9114DA">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9114DA">
              <w:rPr>
                <w:sz w:val="22"/>
                <w:szCs w:val="22"/>
                <w:lang w:eastAsia="en-US"/>
              </w:rPr>
              <w:t>06.11</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9114DA">
              <w:rPr>
                <w:sz w:val="22"/>
                <w:szCs w:val="22"/>
                <w:lang w:eastAsia="en-US"/>
              </w:rPr>
              <w:t>14</w:t>
            </w:r>
            <w:r w:rsidR="007B7E2D">
              <w:rPr>
                <w:sz w:val="22"/>
                <w:szCs w:val="22"/>
                <w:lang w:eastAsia="en-US"/>
              </w:rPr>
              <w:t>.</w:t>
            </w:r>
            <w:r w:rsidR="00F326F5">
              <w:rPr>
                <w:sz w:val="22"/>
                <w:szCs w:val="22"/>
                <w:lang w:eastAsia="en-US"/>
              </w:rPr>
              <w:t>1</w:t>
            </w:r>
            <w:r w:rsidR="00FD7F28">
              <w:rPr>
                <w:sz w:val="22"/>
                <w:szCs w:val="22"/>
                <w:lang w:eastAsia="en-US"/>
              </w:rPr>
              <w:t>1</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Default="009114DA" w:rsidP="009114DA">
            <w:pPr>
              <w:tabs>
                <w:tab w:val="left" w:pos="0"/>
              </w:tabs>
              <w:spacing w:line="276" w:lineRule="auto"/>
              <w:ind w:right="153" w:firstLine="0"/>
              <w:jc w:val="left"/>
              <w:rPr>
                <w:sz w:val="22"/>
                <w:szCs w:val="22"/>
              </w:rPr>
            </w:pPr>
            <w:r>
              <w:rPr>
                <w:sz w:val="22"/>
                <w:szCs w:val="22"/>
              </w:rPr>
              <w:t>Лот № 6190257-1 с 01.12</w:t>
            </w:r>
            <w:r w:rsidR="003F4F7B">
              <w:rPr>
                <w:sz w:val="22"/>
                <w:szCs w:val="22"/>
              </w:rPr>
              <w:t>.201</w:t>
            </w:r>
            <w:r>
              <w:rPr>
                <w:sz w:val="22"/>
                <w:szCs w:val="22"/>
              </w:rPr>
              <w:t>8 г. по 30.09.2019</w:t>
            </w:r>
            <w:r w:rsidR="00222F94">
              <w:rPr>
                <w:sz w:val="22"/>
                <w:szCs w:val="22"/>
              </w:rPr>
              <w:t xml:space="preserve"> г.</w:t>
            </w:r>
          </w:p>
          <w:p w:rsidR="009114DA" w:rsidRDefault="009114DA" w:rsidP="009114DA">
            <w:pPr>
              <w:tabs>
                <w:tab w:val="left" w:pos="0"/>
              </w:tabs>
              <w:spacing w:line="276" w:lineRule="auto"/>
              <w:ind w:right="153" w:firstLine="0"/>
              <w:jc w:val="left"/>
              <w:rPr>
                <w:sz w:val="22"/>
                <w:szCs w:val="22"/>
              </w:rPr>
            </w:pPr>
            <w:r>
              <w:rPr>
                <w:sz w:val="22"/>
                <w:szCs w:val="22"/>
              </w:rPr>
              <w:t>Лот № 6190232-1 с 01.12.2018 г. по 30.09.2019 г.</w:t>
            </w:r>
          </w:p>
          <w:p w:rsidR="009114DA" w:rsidRDefault="009114DA" w:rsidP="009114DA">
            <w:pPr>
              <w:tabs>
                <w:tab w:val="left" w:pos="0"/>
              </w:tabs>
              <w:spacing w:line="276" w:lineRule="auto"/>
              <w:ind w:right="153" w:firstLine="0"/>
              <w:jc w:val="left"/>
              <w:rPr>
                <w:sz w:val="22"/>
                <w:szCs w:val="22"/>
              </w:rPr>
            </w:pPr>
            <w:r>
              <w:rPr>
                <w:sz w:val="22"/>
                <w:szCs w:val="22"/>
              </w:rPr>
              <w:t>Лот № 6190106-1 с 14.01.2019 г. по 20.02.2019 г.</w:t>
            </w:r>
          </w:p>
          <w:p w:rsidR="009114DA" w:rsidRPr="003F62F6" w:rsidRDefault="009114DA" w:rsidP="009114DA">
            <w:pPr>
              <w:tabs>
                <w:tab w:val="left" w:pos="0"/>
              </w:tabs>
              <w:spacing w:line="276" w:lineRule="auto"/>
              <w:ind w:right="153" w:firstLine="0"/>
              <w:jc w:val="left"/>
              <w:rPr>
                <w:i/>
                <w:sz w:val="22"/>
                <w:szCs w:val="22"/>
                <w:lang w:eastAsia="en-US"/>
              </w:rPr>
            </w:pPr>
            <w:r>
              <w:rPr>
                <w:sz w:val="22"/>
                <w:szCs w:val="22"/>
              </w:rPr>
              <w:t>Лот № 6190111-1 с 14.01.2019 по 31.01.2019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9114DA" w:rsidP="009114DA">
            <w:pPr>
              <w:tabs>
                <w:tab w:val="left" w:pos="0"/>
              </w:tabs>
              <w:autoSpaceDE w:val="0"/>
              <w:autoSpaceDN w:val="0"/>
              <w:adjustRightInd w:val="0"/>
              <w:spacing w:line="276" w:lineRule="auto"/>
              <w:ind w:left="540" w:right="-72" w:hanging="540"/>
              <w:jc w:val="left"/>
              <w:rPr>
                <w:sz w:val="22"/>
                <w:szCs w:val="22"/>
              </w:rPr>
            </w:pPr>
            <w:r>
              <w:rPr>
                <w:sz w:val="22"/>
                <w:szCs w:val="22"/>
                <w:lang w:val="en-US"/>
              </w:rPr>
              <w:t>4</w:t>
            </w:r>
            <w:r w:rsidR="007B7E2D">
              <w:rPr>
                <w:sz w:val="22"/>
                <w:szCs w:val="22"/>
              </w:rPr>
              <w:t xml:space="preserve"> (</w:t>
            </w:r>
            <w:r>
              <w:rPr>
                <w:sz w:val="22"/>
                <w:szCs w:val="22"/>
              </w:rPr>
              <w:t>четыре</w:t>
            </w:r>
            <w:r w:rsidR="00DE2916" w:rsidRPr="003F62F6">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lastRenderedPageBreak/>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801BAB" w:rsidRPr="003F62F6">
        <w:rPr>
          <w:rFonts w:ascii="Arial" w:hAnsi="Arial" w:cs="Arial"/>
          <w:color w:val="000000"/>
          <w:sz w:val="24"/>
          <w:szCs w:val="24"/>
        </w:rPr>
        <w:t>График поставки товара (форма</w:t>
      </w:r>
      <w:r w:rsidR="00801BAB"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Анкета Участника (форма 5</w:t>
      </w:r>
      <w:r w:rsidR="00801BAB" w:rsidRPr="00801BAB">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Справка о перечне и годовых объемах выполнения аналогичных договоров (форма 6</w:t>
      </w:r>
      <w:r w:rsidR="00801BAB" w:rsidRPr="00801BAB">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801BAB">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801BAB">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DB" w:rsidRDefault="00A72CDB">
      <w:r>
        <w:separator/>
      </w:r>
    </w:p>
  </w:endnote>
  <w:endnote w:type="continuationSeparator" w:id="0">
    <w:p w:rsidR="00A72CDB" w:rsidRDefault="00A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114DA" w:rsidRDefault="009114DA">
        <w:pPr>
          <w:pStyle w:val="af0"/>
          <w:jc w:val="right"/>
        </w:pPr>
        <w:r>
          <w:fldChar w:fldCharType="begin"/>
        </w:r>
        <w:r>
          <w:instrText xml:space="preserve"> PAGE   \* MERGEFORMAT </w:instrText>
        </w:r>
        <w:r>
          <w:fldChar w:fldCharType="separate"/>
        </w:r>
        <w:r w:rsidR="00AC212A">
          <w:rPr>
            <w:noProof/>
          </w:rPr>
          <w:t>8</w:t>
        </w:r>
        <w:r>
          <w:rPr>
            <w:noProof/>
          </w:rPr>
          <w:fldChar w:fldCharType="end"/>
        </w:r>
      </w:p>
    </w:sdtContent>
  </w:sdt>
  <w:p w:rsidR="009114DA" w:rsidRDefault="009114D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DB" w:rsidRDefault="00A72CDB">
      <w:r>
        <w:separator/>
      </w:r>
    </w:p>
  </w:footnote>
  <w:footnote w:type="continuationSeparator" w:id="0">
    <w:p w:rsidR="00A72CDB" w:rsidRDefault="00A7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DA" w:rsidRPr="00F01080" w:rsidRDefault="009114D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5B6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DA"/>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89"/>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CD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212A"/>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03329"/>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82E17-1CBA-47DD-AD6F-6AD64A40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28</Pages>
  <Words>4900</Words>
  <Characters>27931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39</cp:revision>
  <cp:lastPrinted>2018-09-14T05:29:00Z</cp:lastPrinted>
  <dcterms:created xsi:type="dcterms:W3CDTF">2018-01-29T06:47:00Z</dcterms:created>
  <dcterms:modified xsi:type="dcterms:W3CDTF">2018-11-06T09:48:00Z</dcterms:modified>
</cp:coreProperties>
</file>