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402" w:rsidRPr="004F5C2D" w:rsidRDefault="00D75402" w:rsidP="00500905">
      <w:pPr>
        <w:tabs>
          <w:tab w:val="left" w:pos="4680"/>
        </w:tabs>
        <w:spacing w:line="240" w:lineRule="auto"/>
        <w:ind w:left="5427" w:hanging="11"/>
        <w:jc w:val="left"/>
        <w:rPr>
          <w:rFonts w:ascii="Arial" w:hAnsi="Arial" w:cs="Arial"/>
          <w:b/>
          <w:bCs/>
          <w:sz w:val="22"/>
          <w:szCs w:val="22"/>
        </w:rPr>
      </w:pPr>
      <w:bookmarkStart w:id="0" w:name="_Hlt447028322"/>
      <w:bookmarkStart w:id="1" w:name="_GoBack"/>
      <w:bookmarkEnd w:id="1"/>
    </w:p>
    <w:p w:rsidR="00BB10E8" w:rsidRDefault="00BB10E8" w:rsidP="00BB10E8">
      <w:pPr>
        <w:spacing w:line="240" w:lineRule="auto"/>
        <w:ind w:firstLine="0"/>
        <w:jc w:val="center"/>
        <w:outlineLvl w:val="0"/>
        <w:rPr>
          <w:rFonts w:ascii="Arial" w:hAnsi="Arial" w:cs="Arial"/>
          <w:b/>
          <w:sz w:val="22"/>
          <w:szCs w:val="22"/>
        </w:rPr>
      </w:pPr>
    </w:p>
    <w:p w:rsidR="00B42D57" w:rsidRDefault="00B42D57"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500905">
        <w:rPr>
          <w:rFonts w:ascii="Arial" w:hAnsi="Arial" w:cs="Arial"/>
          <w:sz w:val="22"/>
          <w:szCs w:val="22"/>
        </w:rPr>
        <w:t>8</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320D38">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320D38">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320D38">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320D38">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320D38">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320D38">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320D38">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320D38">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320D38">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320D38">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B940F3">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860213">
        <w:rPr>
          <w:rFonts w:ascii="Arial" w:hAnsi="Arial" w:cs="Arial"/>
          <w:color w:val="000000"/>
          <w:sz w:val="22"/>
          <w:szCs w:val="22"/>
        </w:rPr>
        <w:t>9П40020</w:t>
      </w:r>
      <w:r w:rsidR="004A2C58">
        <w:rPr>
          <w:rFonts w:ascii="Arial" w:hAnsi="Arial" w:cs="Arial"/>
          <w:color w:val="000000"/>
          <w:sz w:val="22"/>
          <w:szCs w:val="22"/>
        </w:rPr>
        <w:t xml:space="preserve">/1 </w:t>
      </w:r>
      <w:r w:rsidR="00AE0E15">
        <w:rPr>
          <w:rFonts w:ascii="Arial" w:hAnsi="Arial" w:cs="Arial"/>
          <w:sz w:val="22"/>
          <w:szCs w:val="22"/>
        </w:rPr>
        <w:t xml:space="preserve">от </w:t>
      </w:r>
      <w:r w:rsidR="00860213">
        <w:rPr>
          <w:rFonts w:ascii="Arial" w:hAnsi="Arial" w:cs="Arial"/>
          <w:sz w:val="22"/>
          <w:szCs w:val="22"/>
        </w:rPr>
        <w:t>17</w:t>
      </w:r>
      <w:r w:rsidR="006D24CC" w:rsidRPr="00E448B2">
        <w:rPr>
          <w:rFonts w:ascii="Arial" w:hAnsi="Arial" w:cs="Arial"/>
          <w:sz w:val="22"/>
          <w:szCs w:val="22"/>
        </w:rPr>
        <w:t>.</w:t>
      </w:r>
      <w:r w:rsidR="00982DF3">
        <w:rPr>
          <w:rFonts w:ascii="Arial" w:hAnsi="Arial" w:cs="Arial"/>
          <w:sz w:val="22"/>
          <w:szCs w:val="22"/>
        </w:rPr>
        <w:t>0</w:t>
      </w:r>
      <w:r w:rsidR="00860213">
        <w:rPr>
          <w:rFonts w:ascii="Arial" w:hAnsi="Arial" w:cs="Arial"/>
          <w:sz w:val="22"/>
          <w:szCs w:val="22"/>
        </w:rPr>
        <w:t>9</w:t>
      </w:r>
      <w:r w:rsidR="006D24CC" w:rsidRPr="00E448B2">
        <w:rPr>
          <w:rFonts w:ascii="Arial" w:hAnsi="Arial" w:cs="Arial"/>
          <w:sz w:val="22"/>
          <w:szCs w:val="22"/>
        </w:rPr>
        <w:t>.201</w:t>
      </w:r>
      <w:r w:rsidR="00982DF3">
        <w:rPr>
          <w:rFonts w:ascii="Arial" w:hAnsi="Arial" w:cs="Arial"/>
          <w:sz w:val="22"/>
          <w:szCs w:val="22"/>
        </w:rPr>
        <w:t>8</w:t>
      </w:r>
      <w:r w:rsidR="006D24CC" w:rsidRPr="00E448B2">
        <w:rPr>
          <w:rFonts w:ascii="Arial" w:hAnsi="Arial" w:cs="Arial"/>
          <w:sz w:val="22"/>
          <w:szCs w:val="22"/>
        </w:rPr>
        <w:t>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п/п п</w:t>
            </w:r>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9B3D37" w:rsidRPr="00B940F3" w:rsidRDefault="00860213" w:rsidP="00903F8C">
            <w:pPr>
              <w:autoSpaceDE w:val="0"/>
              <w:autoSpaceDN w:val="0"/>
              <w:adjustRightInd w:val="0"/>
              <w:spacing w:line="276" w:lineRule="auto"/>
              <w:ind w:right="-74" w:firstLine="0"/>
              <w:jc w:val="left"/>
              <w:rPr>
                <w:rFonts w:ascii="Arial" w:hAnsi="Arial" w:cs="Arial"/>
                <w:bCs/>
                <w:sz w:val="20"/>
              </w:rPr>
            </w:pPr>
            <w:r>
              <w:rPr>
                <w:rFonts w:ascii="Arial" w:hAnsi="Arial" w:cs="Arial"/>
                <w:bCs/>
                <w:sz w:val="20"/>
              </w:rPr>
              <w:t>Трубная продукция (нержавеющий металл)</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 xml:space="preserve">ПАО «Юнипро»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«Юнипро»</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 xml:space="preserve">Ответственный закупщик: </w:t>
            </w:r>
            <w:r w:rsidR="001530FE">
              <w:rPr>
                <w:rFonts w:ascii="Arial" w:hAnsi="Arial" w:cs="Arial"/>
                <w:sz w:val="20"/>
                <w:lang w:eastAsia="en-US"/>
              </w:rPr>
              <w:t>Солдатова Ирина Николаевна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0"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CD7A2C" w:rsidP="001530FE">
            <w:pPr>
              <w:spacing w:line="240" w:lineRule="auto"/>
              <w:ind w:right="153" w:firstLine="0"/>
              <w:jc w:val="left"/>
              <w:rPr>
                <w:rFonts w:ascii="Arial" w:hAnsi="Arial" w:cs="Arial"/>
                <w:sz w:val="20"/>
                <w:lang w:eastAsia="en-US"/>
              </w:rPr>
            </w:pPr>
            <w:r>
              <w:rPr>
                <w:rFonts w:ascii="Arial" w:hAnsi="Arial" w:cs="Arial"/>
                <w:sz w:val="20"/>
                <w:lang w:eastAsia="en-US"/>
              </w:rPr>
              <w:t>номер контактного телефона:</w:t>
            </w:r>
            <w:r w:rsidR="00903F8C" w:rsidRPr="00662DA4">
              <w:rPr>
                <w:rFonts w:ascii="Arial" w:hAnsi="Arial" w:cs="Arial"/>
                <w:sz w:val="20"/>
                <w:lang w:eastAsia="en-US"/>
              </w:rPr>
              <w:t xml:space="preserve"> </w:t>
            </w:r>
            <w:r w:rsidR="00903F8C" w:rsidRPr="00662DA4">
              <w:rPr>
                <w:rFonts w:ascii="Arial" w:hAnsi="Arial" w:cs="Arial"/>
                <w:color w:val="000000"/>
                <w:sz w:val="20"/>
              </w:rPr>
              <w:t>+7 (48166) 2-9</w:t>
            </w:r>
            <w:r w:rsidR="001530FE">
              <w:rPr>
                <w:rFonts w:ascii="Arial" w:hAnsi="Arial" w:cs="Arial"/>
                <w:color w:val="000000"/>
                <w:sz w:val="20"/>
              </w:rPr>
              <w:t>0</w:t>
            </w:r>
            <w:r w:rsidR="00903F8C" w:rsidRPr="00662DA4">
              <w:rPr>
                <w:rFonts w:ascii="Arial" w:hAnsi="Arial" w:cs="Arial"/>
                <w:color w:val="000000"/>
                <w:sz w:val="20"/>
              </w:rPr>
              <w:t>-0</w:t>
            </w:r>
            <w:r w:rsidR="001530FE">
              <w:rPr>
                <w:rFonts w:ascii="Arial" w:hAnsi="Arial" w:cs="Arial"/>
                <w:color w:val="000000"/>
                <w:sz w:val="20"/>
              </w:rPr>
              <w:t>9</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r w:rsidR="00DD2E31" w:rsidRPr="00662DA4">
              <w:rPr>
                <w:rFonts w:ascii="Arial" w:hAnsi="Arial" w:cs="Arial"/>
                <w:bCs/>
                <w:sz w:val="20"/>
              </w:rPr>
              <w:t>Юнипро»</w:t>
            </w:r>
            <w:r w:rsidRPr="00662DA4">
              <w:rPr>
                <w:rFonts w:ascii="Arial" w:hAnsi="Arial" w:cs="Arial"/>
                <w:bCs/>
                <w:sz w:val="20"/>
              </w:rPr>
              <w:t>, Раздел «Закупки»:</w:t>
            </w:r>
            <w:r w:rsidRPr="00662DA4">
              <w:rPr>
                <w:rFonts w:ascii="Arial" w:hAnsi="Arial" w:cs="Arial"/>
                <w:spacing w:val="-6"/>
                <w:sz w:val="20"/>
              </w:rPr>
              <w:t xml:space="preserve">  (</w:t>
            </w:r>
            <w:hyperlink r:id="rId11"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1530FE">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446A85">
              <w:rPr>
                <w:rFonts w:ascii="Arial" w:hAnsi="Arial" w:cs="Arial"/>
                <w:sz w:val="20"/>
                <w:lang w:val="en-US" w:eastAsia="en-US"/>
              </w:rPr>
              <w:t>15</w:t>
            </w:r>
            <w:r w:rsidRPr="00662DA4">
              <w:rPr>
                <w:rFonts w:ascii="Arial" w:hAnsi="Arial" w:cs="Arial"/>
                <w:sz w:val="20"/>
                <w:lang w:eastAsia="en-US"/>
              </w:rPr>
              <w:t>.</w:t>
            </w:r>
            <w:r w:rsidR="00752F73">
              <w:rPr>
                <w:rFonts w:ascii="Arial" w:hAnsi="Arial" w:cs="Arial"/>
                <w:sz w:val="20"/>
                <w:lang w:eastAsia="en-US"/>
              </w:rPr>
              <w:t>0</w:t>
            </w:r>
            <w:r w:rsidR="001530FE">
              <w:rPr>
                <w:rFonts w:ascii="Arial" w:hAnsi="Arial" w:cs="Arial"/>
                <w:sz w:val="20"/>
                <w:lang w:val="en-US" w:eastAsia="en-US"/>
              </w:rPr>
              <w:t>8</w:t>
            </w:r>
            <w:r w:rsidRPr="00662DA4">
              <w:rPr>
                <w:rFonts w:ascii="Arial" w:hAnsi="Arial" w:cs="Arial"/>
                <w:sz w:val="20"/>
                <w:lang w:eastAsia="en-US"/>
              </w:rPr>
              <w:t>.201</w:t>
            </w:r>
            <w:r w:rsidR="00752F73">
              <w:rPr>
                <w:rFonts w:ascii="Arial" w:hAnsi="Arial" w:cs="Arial"/>
                <w:sz w:val="20"/>
                <w:lang w:eastAsia="en-US"/>
              </w:rPr>
              <w:t>8</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b/>
                <w:sz w:val="20"/>
                <w:lang w:eastAsia="en-US"/>
              </w:rPr>
              <w:t>Дата окончания приема Предложения*:</w:t>
            </w:r>
            <w:r w:rsidRPr="00062438">
              <w:rPr>
                <w:rFonts w:ascii="Arial" w:hAnsi="Arial" w:cs="Arial"/>
                <w:sz w:val="20"/>
                <w:lang w:eastAsia="en-US"/>
              </w:rPr>
              <w:t xml:space="preserve">                                        до 1</w:t>
            </w:r>
            <w:r w:rsidR="00860213">
              <w:rPr>
                <w:rFonts w:ascii="Arial" w:hAnsi="Arial" w:cs="Arial"/>
                <w:sz w:val="20"/>
                <w:lang w:eastAsia="en-US"/>
              </w:rPr>
              <w:t>5</w:t>
            </w:r>
            <w:r w:rsidRPr="00062438">
              <w:rPr>
                <w:rFonts w:ascii="Arial" w:hAnsi="Arial" w:cs="Arial"/>
                <w:sz w:val="20"/>
                <w:lang w:eastAsia="en-US"/>
              </w:rPr>
              <w:t xml:space="preserve">:00 </w:t>
            </w:r>
            <w:r w:rsidRPr="00062438">
              <w:rPr>
                <w:rFonts w:ascii="Arial" w:hAnsi="Arial" w:cs="Arial"/>
                <w:i/>
                <w:sz w:val="20"/>
                <w:lang w:eastAsia="en-US"/>
              </w:rPr>
              <w:t>(МСК)</w:t>
            </w:r>
            <w:r>
              <w:rPr>
                <w:rFonts w:ascii="Arial" w:hAnsi="Arial" w:cs="Arial"/>
                <w:i/>
                <w:sz w:val="20"/>
                <w:lang w:eastAsia="en-US"/>
              </w:rPr>
              <w:t xml:space="preserve"> </w:t>
            </w:r>
            <w:r w:rsidR="00860213">
              <w:rPr>
                <w:rFonts w:ascii="Arial" w:hAnsi="Arial" w:cs="Arial"/>
                <w:sz w:val="20"/>
                <w:lang w:eastAsia="en-US"/>
              </w:rPr>
              <w:t>25.09</w:t>
            </w:r>
            <w:r w:rsidRPr="00062438">
              <w:rPr>
                <w:rFonts w:ascii="Arial" w:hAnsi="Arial" w:cs="Arial"/>
                <w:sz w:val="20"/>
                <w:lang w:eastAsia="en-US"/>
              </w:rPr>
              <w:t>.2018 г.</w:t>
            </w:r>
          </w:p>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sz w:val="20"/>
              </w:rPr>
              <w:t>*</w:t>
            </w:r>
            <w:r w:rsidRPr="00062438">
              <w:rPr>
                <w:rFonts w:ascii="Arial" w:hAnsi="Arial" w:cs="Arial"/>
                <w:i/>
                <w:sz w:val="20"/>
              </w:rPr>
              <w:t>Организатор имеет право продлить срок окончания приема Предложений.</w:t>
            </w:r>
          </w:p>
          <w:p w:rsidR="00270ECC"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2"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270ECC" w:rsidP="001530FE">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Духовщинский район, пос. Озерный. Ответственному закупщику – </w:t>
            </w:r>
            <w:r w:rsidR="001530FE">
              <w:rPr>
                <w:rFonts w:ascii="Arial" w:hAnsi="Arial" w:cs="Arial"/>
                <w:bCs/>
                <w:sz w:val="20"/>
                <w:lang w:val="en-US"/>
              </w:rPr>
              <w:t>C</w:t>
            </w:r>
            <w:r w:rsidR="001530FE">
              <w:rPr>
                <w:rFonts w:ascii="Arial" w:hAnsi="Arial" w:cs="Arial"/>
                <w:bCs/>
                <w:sz w:val="20"/>
              </w:rPr>
              <w:t>олдатова И.Н.</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9B1C12" w:rsidRDefault="00860213" w:rsidP="004A2C58">
            <w:pPr>
              <w:tabs>
                <w:tab w:val="left" w:pos="0"/>
                <w:tab w:val="left" w:pos="5657"/>
              </w:tabs>
              <w:spacing w:line="276" w:lineRule="auto"/>
              <w:ind w:right="153" w:firstLine="0"/>
              <w:jc w:val="left"/>
              <w:rPr>
                <w:rFonts w:ascii="Arial" w:hAnsi="Arial" w:cs="Arial"/>
                <w:b/>
                <w:i/>
                <w:sz w:val="20"/>
              </w:rPr>
            </w:pPr>
            <w:r>
              <w:rPr>
                <w:rFonts w:ascii="Arial" w:hAnsi="Arial" w:cs="Arial"/>
                <w:b/>
                <w:sz w:val="20"/>
                <w:lang w:eastAsia="en-US"/>
              </w:rPr>
              <w:t xml:space="preserve"> 14.01</w:t>
            </w:r>
            <w:r w:rsidR="00446A85">
              <w:rPr>
                <w:rFonts w:ascii="Arial" w:hAnsi="Arial" w:cs="Arial"/>
                <w:b/>
                <w:sz w:val="20"/>
                <w:lang w:eastAsia="en-US"/>
              </w:rPr>
              <w:t>.2019</w:t>
            </w:r>
            <w:r>
              <w:rPr>
                <w:rFonts w:ascii="Arial" w:hAnsi="Arial" w:cs="Arial"/>
                <w:b/>
                <w:sz w:val="20"/>
                <w:lang w:eastAsia="en-US"/>
              </w:rPr>
              <w:t xml:space="preserve"> г.</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r w:rsidR="007F4904" w:rsidRPr="00662DA4">
              <w:rPr>
                <w:rFonts w:ascii="Arial" w:hAnsi="Arial" w:cs="Arial"/>
                <w:bCs/>
                <w:sz w:val="20"/>
              </w:rPr>
              <w:t>Юнипро</w:t>
            </w:r>
            <w:r w:rsidRPr="00662DA4">
              <w:rPr>
                <w:rFonts w:ascii="Arial" w:hAnsi="Arial" w:cs="Arial"/>
                <w:bCs/>
                <w:sz w:val="20"/>
              </w:rPr>
              <w:t>», 216239, Смоленская область, Духовщинский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662DA4" w:rsidRDefault="00790C0B" w:rsidP="00A56F5E">
            <w:pPr>
              <w:pStyle w:val="afffa"/>
              <w:tabs>
                <w:tab w:val="left" w:pos="0"/>
              </w:tabs>
              <w:spacing w:line="276" w:lineRule="auto"/>
              <w:ind w:left="0" w:right="-11"/>
              <w:contextualSpacing/>
              <w:jc w:val="both"/>
              <w:rPr>
                <w:rFonts w:ascii="Arial" w:hAnsi="Arial" w:cs="Arial"/>
                <w:sz w:val="20"/>
                <w:szCs w:val="20"/>
              </w:rPr>
            </w:pPr>
            <w:r w:rsidRPr="00662DA4">
              <w:rPr>
                <w:rFonts w:ascii="Arial" w:hAnsi="Arial" w:cs="Arial"/>
                <w:spacing w:val="-1"/>
                <w:sz w:val="20"/>
                <w:szCs w:val="20"/>
              </w:rPr>
              <w:t xml:space="preserve"> в течение 80 </w:t>
            </w:r>
            <w:r w:rsidRPr="00662DA4">
              <w:rPr>
                <w:rFonts w:ascii="Arial" w:hAnsi="Arial" w:cs="Arial"/>
                <w:sz w:val="20"/>
                <w:szCs w:val="20"/>
              </w:rPr>
              <w:t xml:space="preserve">(восьмидесяти) календарных </w:t>
            </w:r>
            <w:r w:rsidR="00446A85">
              <w:rPr>
                <w:rFonts w:ascii="Arial" w:hAnsi="Arial" w:cs="Arial"/>
                <w:spacing w:val="-1"/>
                <w:sz w:val="20"/>
                <w:szCs w:val="20"/>
              </w:rPr>
              <w:t>дней с</w:t>
            </w:r>
            <w:r w:rsidRPr="00662DA4">
              <w:rPr>
                <w:rFonts w:ascii="Arial" w:hAnsi="Arial" w:cs="Arial"/>
                <w:spacing w:val="-1"/>
                <w:sz w:val="20"/>
                <w:szCs w:val="20"/>
              </w:rPr>
              <w:t xml:space="preserve"> даты подписания товарной накладной (или иного двустороннего документа, подтверждающего передачу товара</w:t>
            </w:r>
            <w:r w:rsidR="00A56F5E" w:rsidRPr="00662DA4">
              <w:rPr>
                <w:rFonts w:ascii="Arial" w:hAnsi="Arial" w:cs="Arial"/>
                <w:spacing w:val="-1"/>
                <w:sz w:val="20"/>
                <w:szCs w:val="20"/>
              </w:rPr>
              <w:t>)</w:t>
            </w:r>
            <w:r w:rsidR="00270ECC" w:rsidRPr="00662DA4">
              <w:rPr>
                <w:rFonts w:ascii="Arial" w:hAnsi="Arial" w:cs="Arial"/>
                <w:spacing w:val="-1"/>
                <w:sz w:val="20"/>
                <w:szCs w:val="20"/>
              </w:rPr>
              <w:t xml:space="preserve"> в соответствии проекта договора поставки</w:t>
            </w:r>
            <w:r w:rsidR="00242139" w:rsidRPr="00662DA4">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w:t>
            </w:r>
            <w:r w:rsidRPr="00662DA4">
              <w:rPr>
                <w:rFonts w:ascii="Arial" w:hAnsi="Arial" w:cs="Arial"/>
                <w:sz w:val="20"/>
              </w:rPr>
              <w:lastRenderedPageBreak/>
              <w:t>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BC5425" w:rsidRDefault="006D24CC" w:rsidP="001530FE">
            <w:pPr>
              <w:tabs>
                <w:tab w:val="left" w:pos="0"/>
                <w:tab w:val="left" w:pos="5657"/>
              </w:tabs>
              <w:spacing w:line="276" w:lineRule="auto"/>
              <w:ind w:right="153" w:firstLine="0"/>
              <w:rPr>
                <w:rFonts w:ascii="Arial" w:hAnsi="Arial" w:cs="Arial"/>
                <w:sz w:val="20"/>
              </w:rPr>
            </w:pPr>
            <w:r w:rsidRPr="00662DA4">
              <w:rPr>
                <w:rFonts w:ascii="Arial" w:hAnsi="Arial" w:cs="Arial"/>
                <w:sz w:val="20"/>
              </w:rPr>
              <w:t>- Продукция должна иметь разрешение на применение Ростехнадзора (при необходимости).</w:t>
            </w:r>
          </w:p>
          <w:p w:rsidR="00B940F3" w:rsidRPr="00B940F3" w:rsidRDefault="00B940F3" w:rsidP="001530FE">
            <w:pPr>
              <w:tabs>
                <w:tab w:val="left" w:pos="0"/>
                <w:tab w:val="left" w:pos="5657"/>
              </w:tabs>
              <w:spacing w:line="276" w:lineRule="auto"/>
              <w:ind w:right="153" w:firstLine="0"/>
              <w:rPr>
                <w:rFonts w:ascii="Arial" w:hAnsi="Arial" w:cs="Arial"/>
                <w:sz w:val="20"/>
              </w:rPr>
            </w:pPr>
            <w:r w:rsidRPr="00B940F3">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1530FE">
              <w:rPr>
                <w:rFonts w:ascii="Arial" w:hAnsi="Arial" w:cs="Arial"/>
                <w:noProof/>
                <w:color w:val="0000FF"/>
                <w:sz w:val="20"/>
                <w:szCs w:val="20"/>
                <w:u w:val="single"/>
                <w:lang w:val="en-US"/>
              </w:rPr>
              <w:t>soldatova</w:t>
            </w:r>
            <w:r w:rsidR="001530FE" w:rsidRPr="001530FE">
              <w:rPr>
                <w:rFonts w:ascii="Arial" w:hAnsi="Arial" w:cs="Arial"/>
                <w:noProof/>
                <w:color w:val="0000FF"/>
                <w:sz w:val="20"/>
                <w:szCs w:val="20"/>
                <w:u w:val="single"/>
              </w:rPr>
              <w:t>_</w:t>
            </w:r>
            <w:r w:rsidR="001530FE">
              <w:rPr>
                <w:rFonts w:ascii="Arial" w:hAnsi="Arial" w:cs="Arial"/>
                <w:noProof/>
                <w:color w:val="0000FF"/>
                <w:sz w:val="20"/>
                <w:szCs w:val="20"/>
                <w:u w:val="single"/>
                <w:lang w:val="en-US"/>
              </w:rPr>
              <w:t>i</w:t>
            </w:r>
            <w:hyperlink r:id="rId13"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r w:rsidR="002D3CC2" w:rsidRPr="00662DA4">
              <w:rPr>
                <w:rFonts w:ascii="Arial" w:hAnsi="Arial" w:cs="Arial"/>
                <w:bCs/>
                <w:snapToGrid/>
                <w:sz w:val="20"/>
              </w:rPr>
              <w:t xml:space="preserve">оферта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lastRenderedPageBreak/>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Требования к оформлению скан-копий</w:t>
            </w:r>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r w:rsidR="007F4904" w:rsidRPr="00662DA4">
              <w:rPr>
                <w:rFonts w:ascii="Arial" w:hAnsi="Arial" w:cs="Arial"/>
                <w:sz w:val="20"/>
              </w:rPr>
              <w:t>Юнипро</w:t>
            </w:r>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5"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«Юнипро»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6"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7"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unipro</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860213">
        <w:rPr>
          <w:rFonts w:ascii="Arial" w:hAnsi="Arial" w:cs="Arial"/>
          <w:color w:val="000000"/>
          <w:sz w:val="22"/>
          <w:szCs w:val="22"/>
        </w:rPr>
        <w:t>9П40020</w:t>
      </w:r>
      <w:r w:rsidR="009B1C12">
        <w:rPr>
          <w:rFonts w:ascii="Arial" w:hAnsi="Arial" w:cs="Arial"/>
          <w:color w:val="000000"/>
          <w:sz w:val="22"/>
          <w:szCs w:val="22"/>
        </w:rPr>
        <w:t>/1</w:t>
      </w:r>
      <w:r w:rsidR="00C90E74">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860213">
        <w:rPr>
          <w:rFonts w:ascii="Arial" w:hAnsi="Arial" w:cs="Arial"/>
          <w:color w:val="000000"/>
          <w:sz w:val="22"/>
          <w:szCs w:val="22"/>
        </w:rPr>
        <w:t>17</w:t>
      </w:r>
      <w:r w:rsidR="008E26A7" w:rsidRPr="00E448B2">
        <w:rPr>
          <w:rFonts w:ascii="Arial" w:hAnsi="Arial" w:cs="Arial"/>
          <w:color w:val="000000"/>
          <w:sz w:val="22"/>
          <w:szCs w:val="22"/>
        </w:rPr>
        <w:t>.</w:t>
      </w:r>
      <w:r w:rsidR="00C90E74">
        <w:rPr>
          <w:rFonts w:ascii="Arial" w:hAnsi="Arial" w:cs="Arial"/>
          <w:color w:val="000000"/>
          <w:sz w:val="22"/>
          <w:szCs w:val="22"/>
        </w:rPr>
        <w:t>0</w:t>
      </w:r>
      <w:r w:rsidR="00860213">
        <w:rPr>
          <w:rFonts w:ascii="Arial" w:hAnsi="Arial" w:cs="Arial"/>
          <w:color w:val="000000"/>
          <w:sz w:val="22"/>
          <w:szCs w:val="22"/>
        </w:rPr>
        <w:t>9</w:t>
      </w:r>
      <w:r w:rsidR="008E26A7" w:rsidRPr="00E448B2">
        <w:rPr>
          <w:rFonts w:ascii="Arial" w:hAnsi="Arial" w:cs="Arial"/>
          <w:color w:val="000000"/>
          <w:sz w:val="22"/>
          <w:szCs w:val="22"/>
        </w:rPr>
        <w:t>.201</w:t>
      </w:r>
      <w:r w:rsidR="00C90E74">
        <w:rPr>
          <w:rFonts w:ascii="Arial" w:hAnsi="Arial" w:cs="Arial"/>
          <w:color w:val="000000"/>
          <w:sz w:val="22"/>
          <w:szCs w:val="22"/>
        </w:rPr>
        <w:t>8</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lastRenderedPageBreak/>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B940F3" w:rsidRPr="00E448B2">
        <w:rPr>
          <w:rFonts w:ascii="Arial" w:hAnsi="Arial" w:cs="Arial"/>
          <w:color w:val="000000"/>
          <w:sz w:val="22"/>
          <w:szCs w:val="22"/>
        </w:rPr>
        <w:t>График поставки товара  (форма</w:t>
      </w:r>
      <w:r w:rsidR="00B940F3"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B940F3" w:rsidRPr="00B940F3">
        <w:rPr>
          <w:rFonts w:ascii="Arial" w:hAnsi="Arial" w:cs="Arial"/>
          <w:color w:val="000000"/>
          <w:sz w:val="22"/>
          <w:szCs w:val="22"/>
        </w:rPr>
        <w:t>Анкета Участника (форма 5</w:t>
      </w:r>
      <w:r w:rsidR="00B940F3" w:rsidRPr="00B940F3">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B940F3" w:rsidRPr="00B940F3">
        <w:rPr>
          <w:rFonts w:ascii="Arial" w:hAnsi="Arial" w:cs="Arial"/>
          <w:color w:val="000000"/>
          <w:sz w:val="22"/>
          <w:szCs w:val="22"/>
        </w:rPr>
        <w:t>Справка о перечне и годовых объемах выполнения аналогичных договоров (форма 6</w:t>
      </w:r>
      <w:r w:rsidR="00B940F3" w:rsidRPr="00B940F3">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B940F3">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004C258E">
              <w:rPr>
                <w:rFonts w:ascii="Arial" w:hAnsi="Arial" w:cs="Arial"/>
                <w:i/>
                <w:color w:val="000000"/>
                <w:sz w:val="22"/>
                <w:szCs w:val="22"/>
              </w:rPr>
              <w:t>.</w:t>
            </w:r>
          </w:p>
        </w:tc>
      </w:tr>
    </w:tbl>
    <w:p w:rsidR="00537601" w:rsidRPr="00521765" w:rsidRDefault="00537601" w:rsidP="00537601">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1. Срок поставки: </w:t>
      </w:r>
      <w:r w:rsidRPr="00521765">
        <w:rPr>
          <w:rFonts w:ascii="Arial" w:hAnsi="Arial" w:cs="Arial"/>
          <w:color w:val="000000"/>
          <w:sz w:val="22"/>
          <w:szCs w:val="22"/>
        </w:rPr>
        <w:t>____________________________________________________________________</w:t>
      </w:r>
    </w:p>
    <w:p w:rsidR="00F5358E"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w:t>
      </w:r>
      <w:r w:rsidR="00F5358E" w:rsidRPr="00F5358E">
        <w:rPr>
          <w:rFonts w:ascii="Arial" w:hAnsi="Arial" w:cs="Arial"/>
          <w:sz w:val="22"/>
          <w:szCs w:val="22"/>
        </w:rPr>
        <w:t xml:space="preserve"> </w:t>
      </w:r>
      <w:r w:rsidR="00860213">
        <w:rPr>
          <w:rFonts w:ascii="Arial" w:hAnsi="Arial" w:cs="Arial"/>
          <w:sz w:val="22"/>
          <w:szCs w:val="22"/>
        </w:rPr>
        <w:t>__________________________________________________________________</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w:t>
      </w:r>
      <w:r w:rsidR="00F47D89" w:rsidRPr="00521765">
        <w:rPr>
          <w:rFonts w:ascii="Arial" w:hAnsi="Arial" w:cs="Arial"/>
          <w:color w:val="000000"/>
          <w:sz w:val="22"/>
          <w:szCs w:val="22"/>
        </w:rPr>
        <w:t>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в течение 80 (во</w:t>
            </w:r>
            <w:r w:rsidR="00446A85">
              <w:rPr>
                <w:rFonts w:ascii="Arial" w:hAnsi="Arial" w:cs="Arial"/>
                <w:b w:val="0"/>
                <w:snapToGrid w:val="0"/>
                <w:color w:val="000000"/>
                <w:sz w:val="22"/>
                <w:szCs w:val="22"/>
              </w:rPr>
              <w:t xml:space="preserve">сьмидесяти) календарных дней с </w:t>
            </w:r>
            <w:r w:rsidRPr="00E448B2">
              <w:rPr>
                <w:rFonts w:ascii="Arial" w:hAnsi="Arial" w:cs="Arial"/>
                <w:b w:val="0"/>
                <w:snapToGrid w:val="0"/>
                <w:color w:val="000000"/>
                <w:sz w:val="22"/>
                <w:szCs w:val="22"/>
              </w:rPr>
              <w:t>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lang w:val="en-US"/>
              </w:rPr>
              <w:t>Таблица</w:t>
            </w:r>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lang w:val="en-US"/>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r w:rsidRPr="00E448B2">
              <w:rPr>
                <w:rFonts w:ascii="Arial" w:hAnsi="Arial" w:cs="Arial"/>
                <w:b/>
                <w:sz w:val="22"/>
                <w:szCs w:val="22"/>
                <w:lang w:val="en-US"/>
              </w:rPr>
              <w:t>Предложение</w:t>
            </w:r>
            <w:r w:rsidRPr="00E448B2">
              <w:rPr>
                <w:rFonts w:ascii="Arial" w:hAnsi="Arial" w:cs="Arial"/>
                <w:b/>
                <w:sz w:val="22"/>
                <w:szCs w:val="22"/>
              </w:rPr>
              <w:t xml:space="preserve"> </w:t>
            </w:r>
            <w:r w:rsidRPr="00E448B2">
              <w:rPr>
                <w:rFonts w:ascii="Arial" w:hAnsi="Arial" w:cs="Arial"/>
                <w:b/>
                <w:sz w:val="22"/>
                <w:szCs w:val="22"/>
                <w:lang w:val="en-US"/>
              </w:rPr>
              <w:t>Участника</w:t>
            </w:r>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lastRenderedPageBreak/>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4C258E" w:rsidRDefault="004C258E"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B940F3">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п/п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Опыт работы, в т.ч.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(Руководящий, инженерно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Брэдстрит).</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8"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 xml:space="preserve">согласен на включение в заключаемые </w:t>
      </w:r>
      <w:r w:rsidR="00860213">
        <w:rPr>
          <w:rFonts w:ascii="Arial" w:hAnsi="Arial" w:cs="Arial"/>
          <w:sz w:val="22"/>
          <w:szCs w:val="22"/>
        </w:rPr>
        <w:t>ПАО</w:t>
      </w:r>
      <w:r w:rsidR="008667B0" w:rsidRPr="00E448B2">
        <w:rPr>
          <w:rFonts w:ascii="Arial" w:hAnsi="Arial" w:cs="Arial"/>
          <w:sz w:val="22"/>
          <w:szCs w:val="22"/>
        </w:rPr>
        <w:t xml:space="preserve"> «</w:t>
      </w:r>
      <w:r w:rsidR="00860213">
        <w:rPr>
          <w:rFonts w:ascii="Arial" w:hAnsi="Arial" w:cs="Arial"/>
          <w:sz w:val="22"/>
          <w:szCs w:val="22"/>
        </w:rPr>
        <w:t>Юнипро</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19"/>
      <w:footerReference w:type="default" r:id="rId20"/>
      <w:pgSz w:w="11906" w:h="16838" w:code="9"/>
      <w:pgMar w:top="709"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D38" w:rsidRDefault="00320D38">
      <w:r>
        <w:separator/>
      </w:r>
    </w:p>
  </w:endnote>
  <w:endnote w:type="continuationSeparator" w:id="0">
    <w:p w:rsidR="00320D38" w:rsidRDefault="0032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52F73" w:rsidRDefault="00752F73">
        <w:pPr>
          <w:pStyle w:val="af0"/>
          <w:jc w:val="right"/>
        </w:pPr>
        <w:r>
          <w:fldChar w:fldCharType="begin"/>
        </w:r>
        <w:r>
          <w:instrText xml:space="preserve"> PAGE   \* MERGEFORMAT </w:instrText>
        </w:r>
        <w:r>
          <w:fldChar w:fldCharType="separate"/>
        </w:r>
        <w:r w:rsidR="006F48EE">
          <w:rPr>
            <w:noProof/>
          </w:rPr>
          <w:t>2</w:t>
        </w:r>
        <w:r>
          <w:rPr>
            <w:noProof/>
          </w:rPr>
          <w:fldChar w:fldCharType="end"/>
        </w:r>
      </w:p>
    </w:sdtContent>
  </w:sdt>
  <w:p w:rsidR="00752F73" w:rsidRDefault="00752F7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D38" w:rsidRDefault="00320D38">
      <w:r>
        <w:separator/>
      </w:r>
    </w:p>
  </w:footnote>
  <w:footnote w:type="continuationSeparator" w:id="0">
    <w:p w:rsidR="00320D38" w:rsidRDefault="00320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F73" w:rsidRPr="00F01080" w:rsidRDefault="00752F7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3DB1"/>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43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3766D"/>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0FE"/>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D38"/>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6A85"/>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C58"/>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58E"/>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6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571B9"/>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19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8EE"/>
    <w:rsid w:val="006F499A"/>
    <w:rsid w:val="006F4DE7"/>
    <w:rsid w:val="006F5917"/>
    <w:rsid w:val="006F75DE"/>
    <w:rsid w:val="006F77E4"/>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213"/>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1C12"/>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4A7"/>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87A3F"/>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0F3"/>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A2C"/>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EFE"/>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378EF"/>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6E5"/>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5C8B"/>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2F530E-A6A8-49A3-84BE-AD87B6D0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7362003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vikova_o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document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novikova_oa@unipro.energ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document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E69915-9434-4248-8C68-E5799D8B6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5123</Words>
  <Characters>29205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34260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2018-08-09T08:37:00Z</cp:lastPrinted>
  <dcterms:created xsi:type="dcterms:W3CDTF">2018-09-17T11:13:00Z</dcterms:created>
  <dcterms:modified xsi:type="dcterms:W3CDTF">2018-09-17T11:13:00Z</dcterms:modified>
</cp:coreProperties>
</file>