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9C" w:rsidRPr="00E24CF5" w:rsidRDefault="0018379D" w:rsidP="00FD4ADF">
      <w:pPr>
        <w:tabs>
          <w:tab w:val="left" w:pos="7088"/>
        </w:tabs>
        <w:spacing w:after="0" w:line="240" w:lineRule="auto"/>
        <w:ind w:left="6946"/>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9076CF" w:rsidRDefault="00CB5950"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 xml:space="preserve">к договору </w:t>
      </w:r>
      <w:r w:rsidR="0018379D" w:rsidRPr="00E24CF5">
        <w:rPr>
          <w:rFonts w:ascii="Times New Roman" w:hAnsi="Times New Roman"/>
          <w:sz w:val="18"/>
          <w:szCs w:val="18"/>
        </w:rPr>
        <w:t xml:space="preserve">№ </w:t>
      </w:r>
      <w:r w:rsidR="00D45B07">
        <w:rPr>
          <w:rFonts w:ascii="Times New Roman" w:hAnsi="Times New Roman"/>
          <w:sz w:val="18"/>
          <w:szCs w:val="18"/>
        </w:rPr>
        <w:t>________</w:t>
      </w:r>
      <w:r w:rsidR="00FD4ADF">
        <w:rPr>
          <w:rFonts w:ascii="Times New Roman" w:hAnsi="Times New Roman"/>
          <w:sz w:val="18"/>
          <w:szCs w:val="18"/>
        </w:rPr>
        <w:t>_____</w:t>
      </w:r>
    </w:p>
    <w:p w:rsidR="008B16B0" w:rsidRPr="00997B30" w:rsidRDefault="00DA6801" w:rsidP="00FD4ADF">
      <w:pPr>
        <w:tabs>
          <w:tab w:val="left" w:pos="7230"/>
        </w:tabs>
        <w:spacing w:after="0" w:line="240" w:lineRule="auto"/>
        <w:ind w:left="6946"/>
        <w:rPr>
          <w:rFonts w:ascii="Times New Roman" w:hAnsi="Times New Roman"/>
          <w:sz w:val="18"/>
          <w:szCs w:val="18"/>
        </w:rPr>
      </w:pPr>
      <w:r w:rsidRPr="00E24CF5">
        <w:rPr>
          <w:rFonts w:ascii="Times New Roman" w:hAnsi="Times New Roman"/>
          <w:sz w:val="18"/>
          <w:szCs w:val="18"/>
        </w:rPr>
        <w:t>от «</w:t>
      </w:r>
      <w:r w:rsidR="00FD4ADF">
        <w:rPr>
          <w:rFonts w:ascii="Times New Roman" w:hAnsi="Times New Roman"/>
          <w:sz w:val="18"/>
          <w:szCs w:val="18"/>
        </w:rPr>
        <w:t xml:space="preserve">   </w:t>
      </w:r>
      <w:r w:rsidRPr="00E24CF5">
        <w:rPr>
          <w:rFonts w:ascii="Times New Roman" w:hAnsi="Times New Roman"/>
          <w:sz w:val="18"/>
          <w:szCs w:val="18"/>
        </w:rPr>
        <w:t xml:space="preserve">» </w:t>
      </w:r>
      <w:r w:rsidR="00FD4ADF">
        <w:rPr>
          <w:rFonts w:ascii="Times New Roman" w:hAnsi="Times New Roman"/>
          <w:sz w:val="18"/>
          <w:szCs w:val="18"/>
        </w:rPr>
        <w:t>______________</w:t>
      </w:r>
      <w:r w:rsidR="0083587C">
        <w:rPr>
          <w:rFonts w:ascii="Times New Roman" w:hAnsi="Times New Roman"/>
          <w:sz w:val="18"/>
          <w:szCs w:val="18"/>
        </w:rPr>
        <w:t>2</w:t>
      </w:r>
      <w:r w:rsidR="00222660" w:rsidRPr="00E24CF5">
        <w:rPr>
          <w:rFonts w:ascii="Times New Roman" w:hAnsi="Times New Roman"/>
          <w:sz w:val="18"/>
          <w:szCs w:val="18"/>
        </w:rPr>
        <w:t>01</w:t>
      </w:r>
      <w:r w:rsidR="009076CF">
        <w:rPr>
          <w:rFonts w:ascii="Times New Roman" w:hAnsi="Times New Roman"/>
          <w:sz w:val="18"/>
          <w:szCs w:val="18"/>
        </w:rPr>
        <w:t>7</w:t>
      </w:r>
      <w:r w:rsidR="0018379D" w:rsidRPr="00E24CF5">
        <w:rPr>
          <w:rFonts w:ascii="Times New Roman" w:hAnsi="Times New Roman"/>
          <w:sz w:val="18"/>
          <w:szCs w:val="18"/>
        </w:rPr>
        <w:t xml:space="preserve"> г.</w:t>
      </w: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1C8D"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99617"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E24CF5" w:rsidRPr="00FD4ADF" w:rsidRDefault="00637AF7" w:rsidP="00FD4ADF">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bookmarkStart w:id="0"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0"/>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«Юнипро».</w:t>
      </w:r>
      <w:r w:rsidR="00CB5950" w:rsidRPr="00E24CF5">
        <w:rPr>
          <w:rFonts w:ascii="Times New Roman" w:hAnsi="Times New Roman"/>
          <w:sz w:val="18"/>
          <w:szCs w:val="18"/>
        </w:rPr>
        <w:t>от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1" w:name="_Toc52958246"/>
      <w:bookmarkStart w:id="2" w:name="_Toc253138459"/>
      <w:bookmarkStart w:id="3" w:name="_Toc253142055"/>
      <w:bookmarkStart w:id="4"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997B30">
        <w:rPr>
          <w:rFonts w:ascii="Times New Roman" w:hAnsi="Times New Roman"/>
          <w:sz w:val="18"/>
          <w:szCs w:val="18"/>
        </w:rPr>
        <w:t>П</w:t>
      </w:r>
      <w:r w:rsidR="00A66AB4" w:rsidRPr="00E24CF5">
        <w:rPr>
          <w:rFonts w:ascii="Times New Roman" w:hAnsi="Times New Roman"/>
          <w:sz w:val="18"/>
          <w:szCs w:val="18"/>
        </w:rPr>
        <w:t>АО «</w:t>
      </w:r>
      <w:r w:rsidR="00997B30">
        <w:rPr>
          <w:rFonts w:ascii="Times New Roman" w:hAnsi="Times New Roman"/>
          <w:sz w:val="18"/>
          <w:szCs w:val="18"/>
        </w:rPr>
        <w:t>Юнипро</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xml:space="preserve">»: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98.5pt" o:ole="">
            <v:imagedata r:id="rId11" o:title=""/>
          </v:shape>
          <o:OLEObject Type="Embed" ProgID="CorelPhotoPaint.Image.11" ShapeID="_x0000_i1025" DrawAspect="Content" ObjectID="_1589365081"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2.85pt;height:84.25pt" o:ole="">
            <v:imagedata r:id="rId14" o:title="" cropbottom="9710f" cropleft="14738f"/>
          </v:shape>
          <o:OLEObject Type="Embed" ProgID="CorelPhotoPaint.Image.11" ShapeID="_x0000_i1026" DrawAspect="Content" ObjectID="_1589365082"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5" w:name="OLE_LINK1"/>
      <w:bookmarkStart w:id="6"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5"/>
    <w:bookmarkEnd w:id="6"/>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lastRenderedPageBreak/>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15pt;height:77.45pt" o:ole="">
                  <v:imagedata r:id="rId19" o:title=""/>
                </v:shape>
                <o:OLEObject Type="Embed" ProgID="CorelPhotoPaint.Image.11" ShapeID="_x0000_i1027" DrawAspect="Content" ObjectID="_1589365083"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6.55pt;height:71.3pt" o:ole="">
                  <v:imagedata r:id="rId21" o:title=""/>
                </v:shape>
                <o:OLEObject Type="Embed" ProgID="CorelPhotoPaint.Image.11" ShapeID="_x0000_i1028" DrawAspect="Content" ObjectID="_1589365084"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45"/>
        <w:gridCol w:w="2425"/>
        <w:gridCol w:w="2877"/>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2.55pt;height:117.5pt" o:ole="">
                  <v:imagedata r:id="rId27" o:title=""/>
                </v:shape>
                <o:OLEObject Type="Embed" ProgID="CorelPhotoPaint.Image.11" ShapeID="_x0000_i1029" DrawAspect="Content" ObjectID="_1589365085"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lastRenderedPageBreak/>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697"/>
        <w:gridCol w:w="6658"/>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Все строительные леса (далее – леса) до и выше 4 метров на территории </w:t>
      </w:r>
      <w:r w:rsidR="00997B30">
        <w:rPr>
          <w:rFonts w:ascii="Times New Roman" w:hAnsi="Times New Roman"/>
          <w:sz w:val="18"/>
          <w:szCs w:val="18"/>
        </w:rPr>
        <w:t>П</w:t>
      </w:r>
      <w:r w:rsidRPr="00E24CF5">
        <w:rPr>
          <w:rFonts w:ascii="Times New Roman" w:hAnsi="Times New Roman"/>
          <w:sz w:val="18"/>
          <w:szCs w:val="18"/>
        </w:rPr>
        <w:t>АО «</w:t>
      </w:r>
      <w:r w:rsidR="00997B30">
        <w:rPr>
          <w:rFonts w:ascii="Times New Roman" w:hAnsi="Times New Roman"/>
          <w:sz w:val="18"/>
          <w:szCs w:val="18"/>
        </w:rPr>
        <w:t>Юнипро</w:t>
      </w:r>
      <w:r w:rsidRPr="00E24CF5">
        <w:rPr>
          <w:rFonts w:ascii="Times New Roman" w:hAnsi="Times New Roman"/>
          <w:sz w:val="18"/>
          <w:szCs w:val="18"/>
        </w:rPr>
        <w:t>»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7" w:name="_Toc52958252"/>
      <w:bookmarkStart w:id="8" w:name="_Toc253138467"/>
      <w:bookmarkStart w:id="9" w:name="_Toc253142056"/>
      <w:bookmarkStart w:id="10" w:name="_Toc256020297"/>
      <w:bookmarkEnd w:id="1"/>
      <w:bookmarkEnd w:id="2"/>
      <w:bookmarkEnd w:id="3"/>
      <w:bookmarkEnd w:id="4"/>
      <w:r w:rsidRPr="00E24CF5">
        <w:rPr>
          <w:rFonts w:ascii="Times New Roman" w:hAnsi="Times New Roman"/>
          <w:b/>
          <w:sz w:val="18"/>
          <w:szCs w:val="18"/>
        </w:rPr>
        <w:t>Нормативные ссылки</w:t>
      </w:r>
      <w:bookmarkStart w:id="11" w:name="_Toc253138468"/>
      <w:bookmarkStart w:id="12" w:name="_Toc52958253"/>
      <w:bookmarkStart w:id="13" w:name="_Toc253138469"/>
      <w:bookmarkStart w:id="14"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1"/>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lastRenderedPageBreak/>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5" w:name="_Toc198486517"/>
      <w:bookmarkStart w:id="16" w:name="_Toc210724539"/>
      <w:bookmarkStart w:id="17" w:name="_Toc256020312"/>
      <w:r w:rsidRPr="00E24CF5">
        <w:rPr>
          <w:rFonts w:ascii="Times New Roman" w:hAnsi="Times New Roman"/>
          <w:b/>
          <w:sz w:val="18"/>
          <w:szCs w:val="18"/>
        </w:rPr>
        <w:t xml:space="preserve">Управление </w:t>
      </w:r>
      <w:bookmarkEnd w:id="15"/>
      <w:bookmarkEnd w:id="16"/>
      <w:r w:rsidRPr="00E24CF5">
        <w:rPr>
          <w:rFonts w:ascii="Times New Roman" w:hAnsi="Times New Roman"/>
          <w:b/>
          <w:sz w:val="18"/>
          <w:szCs w:val="18"/>
        </w:rPr>
        <w:t>регламентом</w:t>
      </w:r>
      <w:bookmarkEnd w:id="17"/>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2"/>
    <w:bookmarkEnd w:id="13"/>
    <w:bookmarkEnd w:id="14"/>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2999232" cy="125821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4562" cy="1281426"/>
                    </a:xfrm>
                    <a:prstGeom prst="rect">
                      <a:avLst/>
                    </a:prstGeom>
                    <a:noFill/>
                  </pic:spPr>
                </pic:pic>
              </a:graphicData>
            </a:graphic>
          </wp:inline>
        </w:drawing>
      </w:r>
    </w:p>
    <w:bookmarkEnd w:id="7"/>
    <w:bookmarkEnd w:id="8"/>
    <w:bookmarkEnd w:id="9"/>
    <w:bookmarkEnd w:id="10"/>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8" w:name="i1424443"/>
      <w:r w:rsidRPr="00E24CF5">
        <w:rPr>
          <w:rFonts w:ascii="Times New Roman" w:hAnsi="Times New Roman"/>
          <w:b/>
          <w:bCs/>
          <w:kern w:val="28"/>
          <w:sz w:val="18"/>
          <w:szCs w:val="18"/>
        </w:rPr>
        <w:t>ТАБЛИЦА ПРИЁМКИ  ЛЕСОВ И ПОДМОСТЕЙ</w:t>
      </w:r>
      <w:bookmarkEnd w:id="18"/>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00"/>
        <w:gridCol w:w="1690"/>
        <w:gridCol w:w="1267"/>
        <w:gridCol w:w="1125"/>
        <w:gridCol w:w="1972"/>
        <w:gridCol w:w="129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62"/>
        <w:gridCol w:w="1269"/>
        <w:gridCol w:w="1127"/>
        <w:gridCol w:w="1834"/>
        <w:gridCol w:w="1973"/>
        <w:gridCol w:w="1293"/>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5879BEE6" wp14:editId="519D62EF">
                <wp:simplePos x="0" y="0"/>
                <wp:positionH relativeFrom="column">
                  <wp:posOffset>1694869</wp:posOffset>
                </wp:positionH>
                <wp:positionV relativeFrom="paragraph">
                  <wp:posOffset>194476</wp:posOffset>
                </wp:positionV>
                <wp:extent cx="2488564" cy="1049019"/>
                <wp:effectExtent l="0" t="0" r="26670" b="184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4" cy="1049019"/>
                        </a:xfrm>
                        <a:prstGeom prst="rect">
                          <a:avLst/>
                        </a:prstGeom>
                        <a:solidFill>
                          <a:srgbClr val="FF0000"/>
                        </a:solidFill>
                        <a:ln w="9525">
                          <a:solidFill>
                            <a:srgbClr val="000000"/>
                          </a:solidFill>
                          <a:miter lim="800000"/>
                          <a:headEnd/>
                          <a:tailEnd/>
                        </a:ln>
                      </wps:spPr>
                      <wps:txb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BEE6" id="Rectangle 6" o:spid="_x0000_s1026" style="position:absolute;margin-left:133.45pt;margin-top:15.3pt;width:195.95pt;height:8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" fillcolor="red">
                <v:textbox>
                  <w:txbxContent>
                    <w:p w:rsidR="001E700E" w:rsidRPr="00F94486" w:rsidRDefault="001E700E"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1E700E" w:rsidRDefault="001E700E"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1E700E" w:rsidRPr="00F94486" w:rsidRDefault="001E700E"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lastRenderedPageBreak/>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tbl>
      <w:tblPr>
        <w:tblW w:w="504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9"/>
        <w:gridCol w:w="492"/>
        <w:gridCol w:w="944"/>
        <w:gridCol w:w="2254"/>
        <w:gridCol w:w="841"/>
        <w:gridCol w:w="185"/>
        <w:gridCol w:w="828"/>
        <w:gridCol w:w="2511"/>
        <w:gridCol w:w="418"/>
        <w:gridCol w:w="669"/>
        <w:gridCol w:w="204"/>
      </w:tblGrid>
      <w:tr w:rsidR="00D326D3" w:rsidRPr="00E24CF5" w:rsidTr="00B15EEF">
        <w:trPr>
          <w:gridBefore w:val="1"/>
          <w:wBefore w:w="42" w:type="pct"/>
          <w:trHeight w:val="632"/>
          <w:tblHeader/>
          <w:jc w:val="center"/>
        </w:trPr>
        <w:tc>
          <w:tcPr>
            <w:tcW w:w="762" w:type="pct"/>
            <w:gridSpan w:val="2"/>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Номер    </w:t>
            </w:r>
          </w:p>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наряда</w:t>
            </w:r>
          </w:p>
        </w:tc>
        <w:tc>
          <w:tcPr>
            <w:tcW w:w="1196"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выдавшего наряд</w:t>
            </w:r>
          </w:p>
        </w:tc>
        <w:tc>
          <w:tcPr>
            <w:tcW w:w="983"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Организация (цех), производящая работу</w:t>
            </w:r>
          </w:p>
        </w:tc>
        <w:tc>
          <w:tcPr>
            <w:tcW w:w="133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 И. О., должность руководителя работ</w:t>
            </w:r>
          </w:p>
        </w:tc>
        <w:tc>
          <w:tcPr>
            <w:tcW w:w="685"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подпись руководителя работ </w:t>
            </w:r>
          </w:p>
        </w:tc>
      </w:tr>
      <w:tr w:rsidR="00D326D3" w:rsidRPr="00E24CF5" w:rsidTr="00B15EEF">
        <w:trPr>
          <w:gridBefore w:val="1"/>
          <w:wBefore w:w="42" w:type="pct"/>
          <w:trHeight w:val="156"/>
          <w:tblHeader/>
          <w:jc w:val="center"/>
        </w:trPr>
        <w:tc>
          <w:tcPr>
            <w:tcW w:w="762" w:type="pct"/>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1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3"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33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85"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4892" w:type="pct"/>
            <w:gridSpan w:val="10"/>
            <w:vAlign w:val="center"/>
          </w:tcPr>
          <w:p w:rsidR="00270DFB" w:rsidRPr="00997B30" w:rsidRDefault="00270DFB" w:rsidP="00270DFB">
            <w:pPr>
              <w:spacing w:after="0" w:line="240" w:lineRule="auto"/>
              <w:jc w:val="center"/>
              <w:rPr>
                <w:rFonts w:ascii="Times New Roman" w:hAnsi="Times New Roman"/>
                <w:bCs/>
                <w:sz w:val="20"/>
                <w:szCs w:val="20"/>
              </w:rPr>
            </w:pPr>
          </w:p>
          <w:p w:rsidR="00270DFB" w:rsidRPr="00997B30" w:rsidRDefault="00270DFB" w:rsidP="00270DFB">
            <w:pPr>
              <w:spacing w:after="0" w:line="240" w:lineRule="auto"/>
              <w:jc w:val="center"/>
              <w:rPr>
                <w:rFonts w:ascii="Times New Roman" w:hAnsi="Times New Roman"/>
                <w:bCs/>
                <w:sz w:val="20"/>
                <w:szCs w:val="20"/>
              </w:rPr>
            </w:pPr>
          </w:p>
          <w:p w:rsidR="00B15EEF" w:rsidRPr="00270DFB" w:rsidRDefault="00B15EEF" w:rsidP="00270DFB">
            <w:pPr>
              <w:spacing w:after="0" w:line="240" w:lineRule="auto"/>
              <w:jc w:val="center"/>
              <w:rPr>
                <w:rFonts w:ascii="Times New Roman" w:hAnsi="Times New Roman"/>
                <w:b/>
                <w:bCs/>
                <w:sz w:val="20"/>
                <w:szCs w:val="20"/>
              </w:rPr>
            </w:pPr>
            <w:r w:rsidRPr="00270DFB">
              <w:rPr>
                <w:rFonts w:ascii="Times New Roman" w:hAnsi="Times New Roman"/>
                <w:b/>
                <w:bCs/>
                <w:sz w:val="20"/>
                <w:szCs w:val="20"/>
              </w:rPr>
              <w:t>Подписи сторон:</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270DFB">
            <w:pPr>
              <w:spacing w:after="0" w:line="240" w:lineRule="auto"/>
              <w:ind w:firstLine="567"/>
              <w:rPr>
                <w:rFonts w:ascii="Times New Roman" w:hAnsi="Times New Roman"/>
                <w:b/>
                <w:bCs/>
                <w:color w:val="000000"/>
                <w:sz w:val="20"/>
                <w:szCs w:val="20"/>
              </w:rPr>
            </w:pPr>
            <w:r w:rsidRPr="001511B5">
              <w:rPr>
                <w:rFonts w:ascii="Times New Roman" w:hAnsi="Times New Roman"/>
                <w:b/>
                <w:bCs/>
                <w:color w:val="000000"/>
                <w:sz w:val="20"/>
                <w:szCs w:val="20"/>
              </w:rPr>
              <w:t>ПОДРЯДЧИК</w:t>
            </w:r>
          </w:p>
        </w:tc>
        <w:tc>
          <w:tcPr>
            <w:tcW w:w="1993" w:type="pct"/>
            <w:gridSpan w:val="3"/>
            <w:shd w:val="clear" w:color="auto" w:fill="auto"/>
            <w:vAlign w:val="center"/>
            <w:hideMark/>
          </w:tcPr>
          <w:p w:rsidR="00B15EEF" w:rsidRPr="001511B5" w:rsidRDefault="00B15EEF" w:rsidP="00270DFB">
            <w:pPr>
              <w:spacing w:after="0" w:line="240" w:lineRule="auto"/>
              <w:ind w:firstLine="567"/>
              <w:rPr>
                <w:rFonts w:ascii="Times New Roman" w:hAnsi="Times New Roman"/>
                <w:b/>
                <w:bCs/>
                <w:color w:val="000000"/>
                <w:sz w:val="20"/>
                <w:szCs w:val="20"/>
              </w:rPr>
            </w:pPr>
            <w:r w:rsidRPr="001511B5">
              <w:rPr>
                <w:rFonts w:ascii="Times New Roman" w:hAnsi="Times New Roman"/>
                <w:b/>
                <w:bCs/>
                <w:color w:val="000000"/>
                <w:sz w:val="20"/>
                <w:szCs w:val="20"/>
              </w:rPr>
              <w:t>ЗАКАЗЧИК</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964"/>
        </w:trPr>
        <w:tc>
          <w:tcPr>
            <w:tcW w:w="2241" w:type="pct"/>
            <w:gridSpan w:val="4"/>
            <w:shd w:val="clear" w:color="auto" w:fill="auto"/>
            <w:hideMark/>
          </w:tcPr>
          <w:p w:rsidR="00B15EEF" w:rsidRPr="001511B5" w:rsidRDefault="00B15EEF" w:rsidP="00D9064C">
            <w:pPr>
              <w:shd w:val="clear" w:color="auto" w:fill="FFFFFF"/>
              <w:rPr>
                <w:rFonts w:ascii="Times New Roman" w:hAnsi="Times New Roman"/>
                <w:color w:val="000000"/>
                <w:sz w:val="20"/>
                <w:szCs w:val="20"/>
              </w:rPr>
            </w:pPr>
          </w:p>
        </w:tc>
        <w:tc>
          <w:tcPr>
            <w:tcW w:w="1993" w:type="pct"/>
            <w:gridSpan w:val="3"/>
            <w:shd w:val="clear" w:color="auto" w:fill="auto"/>
            <w:hideMark/>
          </w:tcPr>
          <w:p w:rsidR="003B6428" w:rsidRPr="00DF07CF" w:rsidRDefault="003B6428" w:rsidP="003B6428">
            <w:pPr>
              <w:jc w:val="both"/>
              <w:rPr>
                <w:rFonts w:ascii="Verdana" w:hAnsi="Verdana"/>
                <w:bCs/>
                <w:sz w:val="22"/>
                <w:lang w:eastAsia="x-none"/>
              </w:rPr>
            </w:pPr>
            <w:r w:rsidRPr="00DF07CF">
              <w:rPr>
                <w:rFonts w:ascii="Verdana" w:hAnsi="Verdana"/>
                <w:bCs/>
                <w:sz w:val="22"/>
                <w:lang w:eastAsia="x-none"/>
              </w:rPr>
              <w:t>ПАО «Юнипро»</w:t>
            </w:r>
          </w:p>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D9064C">
            <w:pPr>
              <w:spacing w:after="0" w:line="240" w:lineRule="auto"/>
              <w:ind w:firstLine="567"/>
              <w:jc w:val="both"/>
              <w:rPr>
                <w:rFonts w:ascii="Times New Roman" w:hAnsi="Times New Roman"/>
                <w:color w:val="000000"/>
                <w:sz w:val="20"/>
                <w:szCs w:val="20"/>
              </w:rPr>
            </w:pPr>
            <w:r w:rsidRPr="001511B5">
              <w:rPr>
                <w:rFonts w:ascii="Times New Roman" w:hAnsi="Times New Roman"/>
                <w:color w:val="000000"/>
                <w:sz w:val="20"/>
                <w:szCs w:val="20"/>
              </w:rPr>
              <w:t xml:space="preserve">________________ / </w:t>
            </w:r>
            <w:bookmarkStart w:id="19" w:name="_GoBack"/>
            <w:bookmarkEnd w:id="19"/>
            <w:r w:rsidRPr="001511B5">
              <w:rPr>
                <w:rFonts w:ascii="Times New Roman" w:hAnsi="Times New Roman"/>
                <w:color w:val="000000"/>
                <w:sz w:val="20"/>
                <w:szCs w:val="20"/>
              </w:rPr>
              <w:t>/</w:t>
            </w:r>
          </w:p>
        </w:tc>
        <w:tc>
          <w:tcPr>
            <w:tcW w:w="1993" w:type="pct"/>
            <w:gridSpan w:val="3"/>
            <w:shd w:val="clear" w:color="auto" w:fill="auto"/>
            <w:vAlign w:val="center"/>
            <w:hideMark/>
          </w:tcPr>
          <w:p w:rsidR="00B15EEF" w:rsidRPr="001511B5" w:rsidRDefault="00FD4ADF" w:rsidP="003B6428">
            <w:pPr>
              <w:spacing w:after="0" w:line="240" w:lineRule="auto"/>
              <w:ind w:firstLine="567"/>
              <w:rPr>
                <w:rFonts w:ascii="Times New Roman" w:hAnsi="Times New Roman"/>
                <w:color w:val="000000"/>
                <w:sz w:val="20"/>
                <w:szCs w:val="20"/>
              </w:rPr>
            </w:pPr>
            <w:r>
              <w:rPr>
                <w:rFonts w:ascii="Times New Roman" w:hAnsi="Times New Roman"/>
                <w:color w:val="000000"/>
                <w:sz w:val="20"/>
                <w:szCs w:val="20"/>
              </w:rPr>
              <w:t xml:space="preserve">___________ / </w:t>
            </w:r>
            <w:r w:rsidR="003B6428">
              <w:rPr>
                <w:rFonts w:ascii="Verdana" w:hAnsi="Verdana"/>
                <w:color w:val="000000"/>
                <w:sz w:val="22"/>
              </w:rPr>
              <w:t>И.Г.Сокоушин</w:t>
            </w:r>
            <w:r w:rsidR="003B6428" w:rsidRPr="001511B5">
              <w:rPr>
                <w:rFonts w:ascii="Times New Roman" w:hAnsi="Times New Roman"/>
                <w:color w:val="000000"/>
                <w:sz w:val="20"/>
                <w:szCs w:val="20"/>
              </w:rPr>
              <w:t xml:space="preserve"> </w:t>
            </w:r>
            <w:r w:rsidR="00B15EEF" w:rsidRPr="001511B5">
              <w:rPr>
                <w:rFonts w:ascii="Times New Roman" w:hAnsi="Times New Roman"/>
                <w:color w:val="000000"/>
                <w:sz w:val="20"/>
                <w:szCs w:val="20"/>
              </w:rPr>
              <w:t xml:space="preserve">/  </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hideMark/>
          </w:tcPr>
          <w:p w:rsidR="00B15EEF" w:rsidRPr="001511B5" w:rsidRDefault="00B15EEF" w:rsidP="00270DFB">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М.П.</w:t>
            </w:r>
          </w:p>
        </w:tc>
        <w:tc>
          <w:tcPr>
            <w:tcW w:w="1993" w:type="pct"/>
            <w:gridSpan w:val="3"/>
            <w:shd w:val="clear" w:color="auto" w:fill="auto"/>
            <w:vAlign w:val="center"/>
            <w:hideMark/>
          </w:tcPr>
          <w:p w:rsidR="00B15EEF" w:rsidRPr="001511B5" w:rsidRDefault="00B15EEF" w:rsidP="00270DFB">
            <w:pPr>
              <w:spacing w:after="0" w:line="240" w:lineRule="auto"/>
              <w:ind w:firstLine="567"/>
              <w:rPr>
                <w:rFonts w:ascii="Times New Roman" w:hAnsi="Times New Roman"/>
                <w:color w:val="000000"/>
                <w:sz w:val="20"/>
                <w:szCs w:val="20"/>
              </w:rPr>
            </w:pPr>
            <w:r w:rsidRPr="001511B5">
              <w:rPr>
                <w:rFonts w:ascii="Times New Roman" w:hAnsi="Times New Roman"/>
                <w:color w:val="000000"/>
                <w:sz w:val="20"/>
                <w:szCs w:val="20"/>
              </w:rPr>
              <w:t>М.П.</w:t>
            </w: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sz w:val="20"/>
                <w:szCs w:val="20"/>
              </w:rPr>
            </w:pPr>
          </w:p>
        </w:tc>
        <w:tc>
          <w:tcPr>
            <w:tcW w:w="2446" w:type="pct"/>
            <w:gridSpan w:val="5"/>
          </w:tcPr>
          <w:p w:rsidR="00B15EEF" w:rsidRPr="001511B5" w:rsidRDefault="00B15EEF" w:rsidP="00270DFB">
            <w:pPr>
              <w:spacing w:after="0" w:line="240" w:lineRule="auto"/>
              <w:ind w:firstLine="35"/>
              <w:jc w:val="both"/>
              <w:rPr>
                <w:rFonts w:ascii="Times New Roman" w:hAnsi="Times New Roman"/>
                <w:b/>
                <w:bCs/>
                <w:sz w:val="20"/>
                <w:szCs w:val="20"/>
              </w:rPr>
            </w:pPr>
          </w:p>
        </w:tc>
      </w:tr>
    </w:tbl>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1E700E">
      <w:footerReference w:type="default" r:id="rId34"/>
      <w:pgSz w:w="11906" w:h="16838" w:code="9"/>
      <w:pgMar w:top="851" w:right="850" w:bottom="1134" w:left="1701" w:header="567" w:footer="0" w:gutter="0"/>
      <w:pgNumType w:start="1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A42" w:rsidRDefault="00827A42" w:rsidP="000523AF">
      <w:pPr>
        <w:spacing w:after="0" w:line="240" w:lineRule="auto"/>
      </w:pPr>
      <w:r>
        <w:separator/>
      </w:r>
    </w:p>
  </w:endnote>
  <w:endnote w:type="continuationSeparator" w:id="0">
    <w:p w:rsidR="00827A42" w:rsidRDefault="00827A42"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091199"/>
      <w:docPartObj>
        <w:docPartGallery w:val="Page Numbers (Bottom of Page)"/>
        <w:docPartUnique/>
      </w:docPartObj>
    </w:sdtPr>
    <w:sdtEndPr/>
    <w:sdtContent>
      <w:p w:rsidR="001E700E" w:rsidRDefault="001E700E">
        <w:pPr>
          <w:pStyle w:val="af0"/>
          <w:jc w:val="right"/>
        </w:pPr>
        <w:r>
          <w:fldChar w:fldCharType="begin"/>
        </w:r>
        <w:r>
          <w:instrText>PAGE   \* MERGEFORMAT</w:instrText>
        </w:r>
        <w:r>
          <w:fldChar w:fldCharType="separate"/>
        </w:r>
        <w:r w:rsidR="00D9064C">
          <w:rPr>
            <w:noProof/>
          </w:rPr>
          <w:t>140</w:t>
        </w:r>
        <w:r>
          <w:fldChar w:fldCharType="end"/>
        </w:r>
      </w:p>
    </w:sdtContent>
  </w:sdt>
  <w:p w:rsidR="001E700E" w:rsidRDefault="001E70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A42" w:rsidRDefault="00827A42" w:rsidP="000523AF">
      <w:pPr>
        <w:spacing w:after="0" w:line="240" w:lineRule="auto"/>
      </w:pPr>
      <w:r>
        <w:separator/>
      </w:r>
    </w:p>
  </w:footnote>
  <w:footnote w:type="continuationSeparator" w:id="0">
    <w:p w:rsidR="00827A42" w:rsidRDefault="00827A42" w:rsidP="0005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E70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B6428"/>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2C7F"/>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07DE"/>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27A42"/>
    <w:rsid w:val="00834A85"/>
    <w:rsid w:val="0083587C"/>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076CF"/>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97B30"/>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16A0"/>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676B2"/>
    <w:rsid w:val="00C70667"/>
    <w:rsid w:val="00C708C0"/>
    <w:rsid w:val="00C70CFB"/>
    <w:rsid w:val="00C72DF9"/>
    <w:rsid w:val="00C82C63"/>
    <w:rsid w:val="00C85D59"/>
    <w:rsid w:val="00C8795B"/>
    <w:rsid w:val="00C90A94"/>
    <w:rsid w:val="00C93866"/>
    <w:rsid w:val="00C96D42"/>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5B07"/>
    <w:rsid w:val="00D47402"/>
    <w:rsid w:val="00D50201"/>
    <w:rsid w:val="00D5163B"/>
    <w:rsid w:val="00D51AB9"/>
    <w:rsid w:val="00D7278B"/>
    <w:rsid w:val="00D81900"/>
    <w:rsid w:val="00D82A37"/>
    <w:rsid w:val="00D83BAD"/>
    <w:rsid w:val="00D85D07"/>
    <w:rsid w:val="00D87823"/>
    <w:rsid w:val="00D9064C"/>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79A"/>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0CC"/>
    <w:rsid w:val="00FC6F46"/>
    <w:rsid w:val="00FC747B"/>
    <w:rsid w:val="00FD12D7"/>
    <w:rsid w:val="00FD2B97"/>
    <w:rsid w:val="00FD434B"/>
    <w:rsid w:val="00FD4A42"/>
    <w:rsid w:val="00FD4ADF"/>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414532-EE23-42ED-B5CB-7A29D00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4.xml><?xml version="1.0" encoding="utf-8"?>
<ds:datastoreItem xmlns:ds="http://schemas.openxmlformats.org/officeDocument/2006/customXml" ds:itemID="{A160C43A-82FD-4378-B1E0-6EB0F139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14563</Words>
  <Characters>83011</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Коновалов Алексей Юрьевич</cp:lastModifiedBy>
  <cp:revision>4</cp:revision>
  <cp:lastPrinted>2017-12-21T06:18:00Z</cp:lastPrinted>
  <dcterms:created xsi:type="dcterms:W3CDTF">2018-06-01T08:54:00Z</dcterms:created>
  <dcterms:modified xsi:type="dcterms:W3CDTF">2018-06-01T10:31:00Z</dcterms:modified>
  <cp:category>Вариант 3</cp:category>
  <cp:contentStatus>Отправлен на утверждение</cp:contentStatus>
</cp:coreProperties>
</file>