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C04552">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C04552"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C04552"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C04552"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C04552"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C04552"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C04552"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C04552"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C04552"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C04552"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C04552"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C04552"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C04552"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C04552"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C04552"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C04552">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C04552">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E8638A">
        <w:rPr>
          <w:color w:val="000000"/>
          <w:sz w:val="24"/>
          <w:szCs w:val="24"/>
        </w:rPr>
        <w:t>7</w:t>
      </w:r>
      <w:r w:rsidR="00C04552">
        <w:rPr>
          <w:color w:val="000000"/>
          <w:sz w:val="24"/>
          <w:szCs w:val="24"/>
        </w:rPr>
        <w:t>5</w:t>
      </w:r>
      <w:r w:rsidR="005F2DF2" w:rsidRPr="005F2DF2">
        <w:rPr>
          <w:sz w:val="24"/>
          <w:szCs w:val="24"/>
        </w:rPr>
        <w:t xml:space="preserve"> </w:t>
      </w:r>
      <w:r w:rsidR="005F2DF2" w:rsidRPr="00610049">
        <w:rPr>
          <w:sz w:val="24"/>
          <w:szCs w:val="24"/>
        </w:rPr>
        <w:t xml:space="preserve">от </w:t>
      </w:r>
      <w:r w:rsidR="00E8638A">
        <w:rPr>
          <w:sz w:val="24"/>
          <w:szCs w:val="24"/>
        </w:rPr>
        <w:t>1</w:t>
      </w:r>
      <w:r w:rsidR="00C04552">
        <w:rPr>
          <w:sz w:val="24"/>
          <w:szCs w:val="24"/>
        </w:rPr>
        <w:t>4</w:t>
      </w:r>
      <w:r w:rsidR="00303E89" w:rsidRPr="00610049">
        <w:rPr>
          <w:sz w:val="24"/>
          <w:szCs w:val="24"/>
        </w:rPr>
        <w:t>.</w:t>
      </w:r>
      <w:r w:rsidR="00B021B7">
        <w:rPr>
          <w:sz w:val="24"/>
          <w:szCs w:val="24"/>
        </w:rPr>
        <w:t>0</w:t>
      </w:r>
      <w:r w:rsidR="00E8638A">
        <w:rPr>
          <w:sz w:val="24"/>
          <w:szCs w:val="24"/>
        </w:rPr>
        <w:t>3</w:t>
      </w:r>
      <w:r w:rsidR="00CF60E3" w:rsidRPr="00610049">
        <w:rPr>
          <w:sz w:val="24"/>
          <w:szCs w:val="24"/>
        </w:rPr>
        <w:t>.201</w:t>
      </w:r>
      <w:r w:rsidR="00B021B7">
        <w:rPr>
          <w:sz w:val="24"/>
          <w:szCs w:val="24"/>
        </w:rPr>
        <w:t>8</w:t>
      </w:r>
      <w:r w:rsidR="00CF60E3" w:rsidRPr="00610049">
        <w:rPr>
          <w:sz w:val="24"/>
          <w:szCs w:val="24"/>
        </w:rPr>
        <w:t xml:space="preserve"> </w:t>
      </w:r>
      <w:r w:rsidR="005F2DF2" w:rsidRPr="00610049">
        <w:rPr>
          <w:sz w:val="24"/>
          <w:szCs w:val="24"/>
        </w:rPr>
        <w:t>г.</w:t>
      </w:r>
      <w:r w:rsidRPr="00610049">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C04552" w:rsidP="00E8638A">
            <w:pPr>
              <w:autoSpaceDE w:val="0"/>
              <w:autoSpaceDN w:val="0"/>
              <w:adjustRightInd w:val="0"/>
              <w:spacing w:line="276" w:lineRule="auto"/>
              <w:ind w:right="-72" w:firstLine="0"/>
              <w:jc w:val="left"/>
              <w:rPr>
                <w:bCs/>
                <w:sz w:val="24"/>
                <w:szCs w:val="24"/>
              </w:rPr>
            </w:pPr>
            <w:r>
              <w:rPr>
                <w:color w:val="000000"/>
                <w:sz w:val="24"/>
                <w:szCs w:val="24"/>
              </w:rPr>
              <w:t>В</w:t>
            </w:r>
            <w:r w:rsidRPr="00561F3C">
              <w:rPr>
                <w:color w:val="000000"/>
                <w:sz w:val="24"/>
                <w:szCs w:val="24"/>
              </w:rPr>
              <w:t>ыполнение работ по техническим решениям и сопровождению пусконаладочных операций, включая: работы по ревизии, ремонту и замене запорной и регулировочной арматуры, а также работы по устранению выявленных Заказчиком замечаний отнесённых к монтажу оборудования, трубопроводов и металлоконструкций на объектах Узел приёма топлива, Узел пересыпки №1 и Насосной станции пенного пожаротушения в рамках реализации строительства «УПТ» филиала «Березовская ГРЭС» ПАО «</w:t>
            </w:r>
            <w:proofErr w:type="spellStart"/>
            <w:r w:rsidRPr="00561F3C">
              <w:rPr>
                <w:color w:val="000000"/>
                <w:sz w:val="24"/>
                <w:szCs w:val="24"/>
              </w:rPr>
              <w:t>Юнипро</w:t>
            </w:r>
            <w:proofErr w:type="spellEnd"/>
            <w:r>
              <w:rPr>
                <w:color w:val="000000"/>
                <w:sz w:val="24"/>
                <w:szCs w:val="24"/>
              </w:rPr>
              <w:t xml:space="preserve">», </w:t>
            </w:r>
            <w:r>
              <w:rPr>
                <w:bCs/>
                <w:color w:val="000000"/>
                <w:sz w:val="24"/>
                <w:szCs w:val="24"/>
              </w:rPr>
              <w:t>в соответствии с Техническим заданием № 322.</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03574C" w:rsidP="00DF1F4A">
            <w:pPr>
              <w:autoSpaceDE w:val="0"/>
              <w:autoSpaceDN w:val="0"/>
              <w:adjustRightInd w:val="0"/>
              <w:spacing w:line="276" w:lineRule="auto"/>
              <w:ind w:firstLine="0"/>
              <w:jc w:val="left"/>
              <w:rPr>
                <w:sz w:val="24"/>
                <w:szCs w:val="24"/>
                <w:lang w:eastAsia="en-US"/>
              </w:rPr>
            </w:pPr>
            <w:r>
              <w:rPr>
                <w:sz w:val="24"/>
                <w:szCs w:val="24"/>
                <w:lang w:eastAsia="en-US"/>
              </w:rPr>
              <w:t>Ибрагимова Диана Рашидовна</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Тел: +7 (495) 545-38-38 доб. 3</w:t>
            </w:r>
            <w:r w:rsidR="0003574C">
              <w:rPr>
                <w:sz w:val="24"/>
                <w:szCs w:val="24"/>
                <w:lang w:eastAsia="en-US"/>
              </w:rPr>
              <w:t>469</w:t>
            </w:r>
            <w:r w:rsidRPr="00DF1F4A">
              <w:rPr>
                <w:sz w:val="24"/>
                <w:szCs w:val="24"/>
                <w:lang w:eastAsia="en-US"/>
              </w:rPr>
              <w:t xml:space="preserve">, </w:t>
            </w:r>
          </w:p>
          <w:p w:rsidR="00BC5425" w:rsidRDefault="00DF1F4A" w:rsidP="0003574C">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
          <w:p w:rsidR="0003574C" w:rsidRPr="008374B8" w:rsidRDefault="00C04552" w:rsidP="0003574C">
            <w:pPr>
              <w:spacing w:line="276" w:lineRule="auto"/>
              <w:ind w:right="153" w:firstLine="0"/>
              <w:jc w:val="left"/>
              <w:rPr>
                <w:sz w:val="24"/>
                <w:szCs w:val="24"/>
                <w:lang w:eastAsia="en-US"/>
              </w:rPr>
            </w:pPr>
            <w:hyperlink r:id="rId10" w:history="1">
              <w:r w:rsidR="0003574C" w:rsidRPr="008374B8">
                <w:rPr>
                  <w:rStyle w:val="af2"/>
                  <w:sz w:val="24"/>
                  <w:szCs w:val="24"/>
                  <w:lang w:val="en-US"/>
                </w:rPr>
                <w:t>Ibragimova</w:t>
              </w:r>
              <w:r w:rsidR="0003574C" w:rsidRPr="008374B8">
                <w:rPr>
                  <w:rStyle w:val="af2"/>
                  <w:sz w:val="24"/>
                  <w:szCs w:val="24"/>
                </w:rPr>
                <w:t>_</w:t>
              </w:r>
              <w:r w:rsidR="0003574C" w:rsidRPr="008374B8">
                <w:rPr>
                  <w:rStyle w:val="af2"/>
                  <w:sz w:val="24"/>
                  <w:szCs w:val="24"/>
                  <w:lang w:val="en-US"/>
                </w:rPr>
                <w:t>D</w:t>
              </w:r>
              <w:r w:rsidR="0003574C" w:rsidRPr="008374B8">
                <w:rPr>
                  <w:rStyle w:val="af2"/>
                  <w:sz w:val="24"/>
                  <w:szCs w:val="24"/>
                </w:rPr>
                <w:t>@</w:t>
              </w:r>
              <w:r w:rsidR="0003574C" w:rsidRPr="008374B8">
                <w:rPr>
                  <w:rStyle w:val="af2"/>
                  <w:sz w:val="24"/>
                  <w:szCs w:val="24"/>
                  <w:lang w:val="en-US"/>
                </w:rPr>
                <w:t>unipro</w:t>
              </w:r>
              <w:r w:rsidR="0003574C" w:rsidRPr="008374B8">
                <w:rPr>
                  <w:rStyle w:val="af2"/>
                  <w:sz w:val="24"/>
                  <w:szCs w:val="24"/>
                </w:rPr>
                <w:t>.</w:t>
              </w:r>
              <w:r w:rsidR="0003574C" w:rsidRPr="008374B8">
                <w:rPr>
                  <w:rStyle w:val="af2"/>
                  <w:sz w:val="24"/>
                  <w:szCs w:val="24"/>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C0455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w:t>
            </w:r>
            <w:r w:rsidRPr="00610049">
              <w:rPr>
                <w:spacing w:val="-6"/>
                <w:sz w:val="24"/>
                <w:szCs w:val="24"/>
              </w:rPr>
              <w:t xml:space="preserve">Уведомления: </w:t>
            </w:r>
            <w:r w:rsidR="00E8638A">
              <w:rPr>
                <w:spacing w:val="-6"/>
                <w:sz w:val="24"/>
                <w:szCs w:val="24"/>
              </w:rPr>
              <w:t>1</w:t>
            </w:r>
            <w:r w:rsidR="00C04552">
              <w:rPr>
                <w:spacing w:val="-6"/>
                <w:sz w:val="24"/>
                <w:szCs w:val="24"/>
              </w:rPr>
              <w:t>4</w:t>
            </w:r>
            <w:r w:rsidR="00303E89" w:rsidRPr="00610049">
              <w:rPr>
                <w:spacing w:val="-6"/>
                <w:sz w:val="24"/>
                <w:szCs w:val="24"/>
              </w:rPr>
              <w:t>.</w:t>
            </w:r>
            <w:r w:rsidR="00871A2B">
              <w:rPr>
                <w:spacing w:val="-6"/>
                <w:sz w:val="24"/>
                <w:szCs w:val="24"/>
              </w:rPr>
              <w:t>0</w:t>
            </w:r>
            <w:r w:rsidR="00E8638A">
              <w:rPr>
                <w:spacing w:val="-6"/>
                <w:sz w:val="24"/>
                <w:szCs w:val="24"/>
              </w:rPr>
              <w:t>3</w:t>
            </w:r>
            <w:r w:rsidRPr="00610049">
              <w:rPr>
                <w:spacing w:val="-6"/>
                <w:sz w:val="24"/>
                <w:szCs w:val="24"/>
              </w:rPr>
              <w:t>.201</w:t>
            </w:r>
            <w:r w:rsidR="00871A2B">
              <w:rPr>
                <w:spacing w:val="-6"/>
                <w:sz w:val="24"/>
                <w:szCs w:val="24"/>
              </w:rPr>
              <w:t>8</w:t>
            </w:r>
            <w:r w:rsidRPr="00610049">
              <w:rPr>
                <w:spacing w:val="-6"/>
                <w:sz w:val="24"/>
                <w:szCs w:val="24"/>
              </w:rPr>
              <w:t xml:space="preserve"> 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C04EF9">
              <w:rPr>
                <w:b/>
                <w:sz w:val="24"/>
                <w:szCs w:val="24"/>
                <w:lang w:eastAsia="en-US"/>
              </w:rPr>
              <w:t xml:space="preserve">Дата окончания приема Предложения*:   </w:t>
            </w:r>
            <w:r w:rsidRPr="00C04EF9">
              <w:rPr>
                <w:sz w:val="24"/>
                <w:szCs w:val="24"/>
                <w:lang w:eastAsia="en-US"/>
              </w:rPr>
              <w:t xml:space="preserve">до </w:t>
            </w:r>
            <w:r w:rsidR="00303E89" w:rsidRPr="00C04EF9">
              <w:rPr>
                <w:sz w:val="24"/>
                <w:szCs w:val="24"/>
                <w:lang w:eastAsia="en-US"/>
              </w:rPr>
              <w:t>15.00</w:t>
            </w:r>
            <w:r w:rsidRPr="00C04EF9">
              <w:rPr>
                <w:sz w:val="24"/>
                <w:szCs w:val="24"/>
                <w:lang w:eastAsia="en-US"/>
              </w:rPr>
              <w:t xml:space="preserve"> (по московскому времени) </w:t>
            </w:r>
            <w:r w:rsidR="00E8638A" w:rsidRPr="0088675B">
              <w:rPr>
                <w:sz w:val="24"/>
                <w:szCs w:val="24"/>
                <w:lang w:eastAsia="en-US"/>
              </w:rPr>
              <w:t>2</w:t>
            </w:r>
            <w:r w:rsidR="00C04552" w:rsidRPr="0088675B">
              <w:rPr>
                <w:sz w:val="24"/>
                <w:szCs w:val="24"/>
                <w:lang w:eastAsia="en-US"/>
              </w:rPr>
              <w:t>1</w:t>
            </w:r>
            <w:r w:rsidR="00303E89" w:rsidRPr="0088675B">
              <w:rPr>
                <w:sz w:val="24"/>
                <w:szCs w:val="24"/>
                <w:lang w:eastAsia="en-US"/>
              </w:rPr>
              <w:t>.</w:t>
            </w:r>
            <w:r w:rsidR="00871A2B" w:rsidRPr="0088675B">
              <w:rPr>
                <w:sz w:val="24"/>
                <w:szCs w:val="24"/>
                <w:lang w:eastAsia="en-US"/>
              </w:rPr>
              <w:t>03</w:t>
            </w:r>
            <w:r w:rsidRPr="0088675B">
              <w:rPr>
                <w:sz w:val="24"/>
                <w:szCs w:val="24"/>
                <w:lang w:eastAsia="en-US"/>
              </w:rPr>
              <w:t>.201</w:t>
            </w:r>
            <w:r w:rsidR="00871A2B" w:rsidRPr="0088675B">
              <w:rPr>
                <w:sz w:val="24"/>
                <w:szCs w:val="24"/>
                <w:lang w:eastAsia="en-US"/>
              </w:rPr>
              <w:t>8</w:t>
            </w:r>
            <w:bookmarkStart w:id="2" w:name="_GoBack"/>
            <w:bookmarkEnd w:id="2"/>
            <w:r w:rsidRPr="00C04EF9">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8374B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w:t>
            </w:r>
            <w:r w:rsidRPr="00DF1F4A">
              <w:rPr>
                <w:sz w:val="24"/>
                <w:szCs w:val="24"/>
                <w:lang w:eastAsia="en-US"/>
              </w:rPr>
              <w:lastRenderedPageBreak/>
              <w:t xml:space="preserve">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hyperlink r:id="rId11" w:history="1">
              <w:r w:rsidR="008374B8" w:rsidRPr="008374B8">
                <w:rPr>
                  <w:rStyle w:val="af2"/>
                  <w:sz w:val="24"/>
                  <w:szCs w:val="24"/>
                  <w:lang w:val="en-US"/>
                </w:rPr>
                <w:t>Ibragimova</w:t>
              </w:r>
              <w:r w:rsidR="008374B8" w:rsidRPr="008374B8">
                <w:rPr>
                  <w:rStyle w:val="af2"/>
                  <w:sz w:val="24"/>
                  <w:szCs w:val="24"/>
                </w:rPr>
                <w:t>_</w:t>
              </w:r>
              <w:r w:rsidR="008374B8" w:rsidRPr="008374B8">
                <w:rPr>
                  <w:rStyle w:val="af2"/>
                  <w:sz w:val="24"/>
                  <w:szCs w:val="24"/>
                  <w:lang w:val="en-US"/>
                </w:rPr>
                <w:t>D</w:t>
              </w:r>
              <w:r w:rsidR="008374B8" w:rsidRPr="008374B8">
                <w:rPr>
                  <w:rStyle w:val="af2"/>
                  <w:sz w:val="24"/>
                  <w:szCs w:val="24"/>
                </w:rPr>
                <w:t>@</w:t>
              </w:r>
              <w:r w:rsidR="008374B8" w:rsidRPr="008374B8">
                <w:rPr>
                  <w:rStyle w:val="af2"/>
                  <w:sz w:val="24"/>
                  <w:szCs w:val="24"/>
                  <w:lang w:val="en-US"/>
                </w:rPr>
                <w:t>unipro</w:t>
              </w:r>
              <w:r w:rsidR="008374B8" w:rsidRPr="008374B8">
                <w:rPr>
                  <w:rStyle w:val="af2"/>
                  <w:sz w:val="24"/>
                  <w:szCs w:val="24"/>
                </w:rPr>
                <w:t>.</w:t>
              </w:r>
              <w:r w:rsidR="008374B8" w:rsidRPr="008374B8">
                <w:rPr>
                  <w:rStyle w:val="af2"/>
                  <w:sz w:val="24"/>
                  <w:szCs w:val="24"/>
                  <w:lang w:val="en-US"/>
                </w:rPr>
                <w:t>energy</w:t>
              </w:r>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договорам  </w:t>
            </w:r>
            <w:r>
              <w:rPr>
                <w:spacing w:val="-1"/>
              </w:rPr>
              <w:t xml:space="preserve">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t xml:space="preserve">среды и борьбы с коррупцией:  </w:t>
            </w:r>
            <w:hyperlink r:id="rId12"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666CE4">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666CE4">
              <w:rPr>
                <w:sz w:val="24"/>
                <w:szCs w:val="24"/>
                <w:lang w:eastAsia="en-US"/>
              </w:rPr>
              <w:t>ПА</w:t>
            </w:r>
            <w:r w:rsidRPr="00145807">
              <w:rPr>
                <w:sz w:val="24"/>
                <w:szCs w:val="24"/>
                <w:lang w:eastAsia="en-US"/>
              </w:rPr>
              <w:t>О «</w:t>
            </w:r>
            <w:r w:rsidR="00666CE4">
              <w:rPr>
                <w:sz w:val="24"/>
                <w:szCs w:val="24"/>
                <w:lang w:eastAsia="en-US"/>
              </w:rPr>
              <w:t>Юнипро</w:t>
            </w:r>
            <w:r w:rsidRPr="00145807">
              <w:rPr>
                <w:sz w:val="24"/>
                <w:szCs w:val="24"/>
                <w:lang w:eastAsia="en-US"/>
              </w:rPr>
              <w:t xml:space="preserve">»: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9C1460"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«Правила техники безопасности для подрядных организаций» (СТО № ОТиБП-Р.03);</w:t>
            </w:r>
          </w:p>
          <w:p w:rsidR="009C1460"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Стандарт «О мерах безопасности при работе с асбестом и асбестосодержащими материалами на объектах ПАО «</w:t>
            </w:r>
            <w:proofErr w:type="spellStart"/>
            <w:r w:rsidRPr="009C1460">
              <w:rPr>
                <w:snapToGrid/>
                <w:color w:val="000000"/>
                <w:sz w:val="24"/>
                <w:szCs w:val="24"/>
              </w:rPr>
              <w:t>Юнипро</w:t>
            </w:r>
            <w:proofErr w:type="spellEnd"/>
            <w:r w:rsidRPr="009C1460">
              <w:rPr>
                <w:snapToGrid/>
                <w:color w:val="000000"/>
                <w:sz w:val="24"/>
                <w:szCs w:val="24"/>
              </w:rPr>
              <w:t>» (СТО №ОТиБП-С.20);</w:t>
            </w:r>
          </w:p>
          <w:p w:rsidR="00E044C1"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системы экологического менеджмента «Правила охраны окружающей среды для подрядных организаций и арендаторов» (РО-ПТУ-11).</w:t>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w:t>
      </w:r>
      <w:r w:rsidR="00044D46">
        <w:rPr>
          <w:sz w:val="24"/>
          <w:szCs w:val="24"/>
        </w:rPr>
        <w:t xml:space="preserve"> </w:t>
      </w:r>
      <w:r w:rsidRPr="00CC6391">
        <w:rPr>
          <w:sz w:val="24"/>
          <w:szCs w:val="24"/>
        </w:rPr>
        <w:t>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__</w:t>
      </w:r>
      <w:r w:rsidR="00FA4DD6" w:rsidRPr="00145807">
        <w:rPr>
          <w:i/>
          <w:color w:val="000000"/>
          <w:sz w:val="24"/>
          <w:szCs w:val="24"/>
        </w:rPr>
        <w:t>»</w:t>
      </w:r>
      <w:r w:rsidR="00044D46">
        <w:rPr>
          <w:i/>
          <w:color w:val="000000"/>
          <w:sz w:val="24"/>
          <w:szCs w:val="24"/>
        </w:rPr>
        <w:t xml:space="preserve"> </w:t>
      </w:r>
      <w:r w:rsidR="00346D80" w:rsidRPr="00145807">
        <w:rPr>
          <w:i/>
          <w:color w:val="000000"/>
          <w:sz w:val="24"/>
          <w:szCs w:val="24"/>
        </w:rPr>
        <w:t>___________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w:t>
      </w:r>
      <w:r w:rsidR="00044D46">
        <w:rPr>
          <w:sz w:val="24"/>
          <w:szCs w:val="24"/>
        </w:rPr>
        <w:t>,</w:t>
      </w:r>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436AAF" w:rsidRDefault="0089186F" w:rsidP="00D86125">
      <w:pPr>
        <w:pStyle w:val="a5"/>
        <w:tabs>
          <w:tab w:val="clear" w:pos="1134"/>
          <w:tab w:val="num" w:pos="0"/>
        </w:tabs>
        <w:spacing w:line="276" w:lineRule="auto"/>
        <w:ind w:left="0" w:firstLine="0"/>
        <w:rPr>
          <w:sz w:val="24"/>
          <w:szCs w:val="24"/>
        </w:rPr>
      </w:pPr>
      <w:r w:rsidRPr="00CC6391">
        <w:rPr>
          <w:sz w:val="24"/>
          <w:szCs w:val="24"/>
        </w:rPr>
        <w:t>Письмо должно быть подписано и скреплено печатью в соответствии с требованиями Документаци</w:t>
      </w:r>
      <w:r w:rsidRPr="00436AAF">
        <w:rPr>
          <w:sz w:val="24"/>
          <w:szCs w:val="24"/>
        </w:rPr>
        <w:t xml:space="preserve">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в</w:t>
      </w:r>
      <w:proofErr w:type="gramEnd"/>
      <w:r w:rsidRPr="00CC6391">
        <w:rPr>
          <w:sz w:val="24"/>
          <w:szCs w:val="24"/>
        </w:rPr>
        <w:t xml:space="preserve">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F52C25" w:rsidRDefault="002A7CD2" w:rsidP="00B320F2">
            <w:pPr>
              <w:pStyle w:val="af8"/>
              <w:spacing w:before="0" w:after="0"/>
              <w:rPr>
                <w:i/>
                <w:color w:val="FF0000"/>
                <w:sz w:val="24"/>
                <w:szCs w:val="24"/>
              </w:rPr>
            </w:pPr>
            <w:r w:rsidRPr="00CC6391">
              <w:rPr>
                <w:sz w:val="24"/>
                <w:szCs w:val="24"/>
              </w:rPr>
              <w:t xml:space="preserve">Состояние (указать год выпуска) и местонахождение </w:t>
            </w:r>
            <w:r w:rsidRPr="00F52C25">
              <w:rPr>
                <w:sz w:val="24"/>
                <w:szCs w:val="24"/>
                <w:highlight w:val="yellow"/>
              </w:rPr>
              <w:t>п</w:t>
            </w:r>
            <w:r w:rsidR="002B7F13" w:rsidRPr="00F52C25">
              <w:rPr>
                <w:sz w:val="24"/>
                <w:szCs w:val="24"/>
                <w:highlight w:val="yellow"/>
              </w:rPr>
              <w:t xml:space="preserve">редназначение </w:t>
            </w:r>
            <w:r w:rsidR="002B7F13" w:rsidRPr="00F52C25">
              <w:rPr>
                <w:i/>
                <w:sz w:val="24"/>
                <w:szCs w:val="24"/>
                <w:highlight w:val="yellow"/>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E8638A">
        <w:rPr>
          <w:sz w:val="24"/>
          <w:szCs w:val="24"/>
        </w:rPr>
        <w:t>П</w:t>
      </w:r>
      <w:r w:rsidR="008667B0" w:rsidRPr="00CC6391">
        <w:rPr>
          <w:sz w:val="24"/>
          <w:szCs w:val="24"/>
        </w:rPr>
        <w:t>АО «</w:t>
      </w:r>
      <w:r w:rsidR="00E8638A">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552" w:rsidRDefault="00C04552">
      <w:r>
        <w:separator/>
      </w:r>
    </w:p>
  </w:endnote>
  <w:endnote w:type="continuationSeparator" w:id="0">
    <w:p w:rsidR="00C04552" w:rsidRDefault="00C04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Content>
      <w:p w:rsidR="00C04552" w:rsidRDefault="00C04552">
        <w:pPr>
          <w:pStyle w:val="af0"/>
          <w:jc w:val="right"/>
        </w:pPr>
        <w:r>
          <w:fldChar w:fldCharType="begin"/>
        </w:r>
        <w:r>
          <w:instrText xml:space="preserve"> PAGE   \* MERGEFORMAT </w:instrText>
        </w:r>
        <w:r>
          <w:fldChar w:fldCharType="separate"/>
        </w:r>
        <w:r w:rsidR="0088675B">
          <w:rPr>
            <w:noProof/>
          </w:rPr>
          <w:t>22</w:t>
        </w:r>
        <w:r>
          <w:rPr>
            <w:noProof/>
          </w:rPr>
          <w:fldChar w:fldCharType="end"/>
        </w:r>
      </w:p>
    </w:sdtContent>
  </w:sdt>
  <w:p w:rsidR="00C04552" w:rsidRDefault="00C0455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552" w:rsidRDefault="00C04552">
      <w:r>
        <w:separator/>
      </w:r>
    </w:p>
  </w:footnote>
  <w:footnote w:type="continuationSeparator" w:id="0">
    <w:p w:rsidR="00C04552" w:rsidRDefault="00C04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552" w:rsidRPr="00F01080" w:rsidRDefault="00C0455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65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74C"/>
    <w:rsid w:val="00035EB9"/>
    <w:rsid w:val="000363C8"/>
    <w:rsid w:val="000365AB"/>
    <w:rsid w:val="000374F9"/>
    <w:rsid w:val="000375A7"/>
    <w:rsid w:val="00037A4C"/>
    <w:rsid w:val="00042219"/>
    <w:rsid w:val="0004498C"/>
    <w:rsid w:val="00044B8A"/>
    <w:rsid w:val="00044D46"/>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2B4"/>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FAF"/>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B04"/>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19E1"/>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CBB"/>
    <w:rsid w:val="00433F9D"/>
    <w:rsid w:val="004345B5"/>
    <w:rsid w:val="004356CC"/>
    <w:rsid w:val="00435AE1"/>
    <w:rsid w:val="00436AAF"/>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6B2A"/>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0097"/>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0049"/>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CE4"/>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0EB"/>
    <w:rsid w:val="0083311D"/>
    <w:rsid w:val="00833A68"/>
    <w:rsid w:val="00833BEE"/>
    <w:rsid w:val="00835D27"/>
    <w:rsid w:val="00836477"/>
    <w:rsid w:val="008374B8"/>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A2B"/>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75B"/>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60"/>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1B7"/>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552"/>
    <w:rsid w:val="00C04706"/>
    <w:rsid w:val="00C04EF9"/>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A41"/>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5A30"/>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96D"/>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C30"/>
    <w:rsid w:val="00E23D94"/>
    <w:rsid w:val="00E24637"/>
    <w:rsid w:val="00E24A90"/>
    <w:rsid w:val="00E258E0"/>
    <w:rsid w:val="00E25A57"/>
    <w:rsid w:val="00E325C7"/>
    <w:rsid w:val="00E33E27"/>
    <w:rsid w:val="00E33F39"/>
    <w:rsid w:val="00E341B1"/>
    <w:rsid w:val="00E34212"/>
    <w:rsid w:val="00E342A9"/>
    <w:rsid w:val="00E3445B"/>
    <w:rsid w:val="00E34F1B"/>
    <w:rsid w:val="00E35562"/>
    <w:rsid w:val="00E36BC2"/>
    <w:rsid w:val="00E409D5"/>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638A"/>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6E9E"/>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2C25"/>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2506D482"/>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9BA651-A9E5-46FA-ABB6-DA9C36B17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45</Pages>
  <Words>6331</Words>
  <Characters>47486</Characters>
  <Application>Microsoft Office Word</Application>
  <DocSecurity>0</DocSecurity>
  <Lines>395</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53710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Ибрагимова Диана Рашидовна</cp:lastModifiedBy>
  <cp:revision>70</cp:revision>
  <cp:lastPrinted>2015-08-13T14:45:00Z</cp:lastPrinted>
  <dcterms:created xsi:type="dcterms:W3CDTF">2016-02-16T10:48:00Z</dcterms:created>
  <dcterms:modified xsi:type="dcterms:W3CDTF">2018-03-14T08:32:00Z</dcterms:modified>
</cp:coreProperties>
</file>