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C1" w:rsidRPr="008A3DA8" w:rsidRDefault="00F3026D" w:rsidP="00134571">
      <w:pPr>
        <w:pStyle w:val="1"/>
        <w:numPr>
          <w:ilvl w:val="0"/>
          <w:numId w:val="0"/>
        </w:numPr>
        <w:ind w:left="1134"/>
        <w:jc w:val="right"/>
        <w:rPr>
          <w:rFonts w:cs="Arial"/>
          <w:sz w:val="22"/>
          <w:szCs w:val="22"/>
        </w:rPr>
      </w:pPr>
      <w:bookmarkStart w:id="0" w:name="_Toc427744518"/>
      <w:bookmarkStart w:id="1" w:name="_GoBack"/>
      <w:bookmarkEnd w:id="1"/>
      <w:r w:rsidRPr="008A3DA8">
        <w:rPr>
          <w:rFonts w:cs="Arial"/>
          <w:sz w:val="22"/>
          <w:szCs w:val="22"/>
        </w:rPr>
        <w:t>ПРОЕКТ  ДОГОВОРА (с приложениями)</w:t>
      </w:r>
      <w:bookmarkEnd w:id="0"/>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Публичное акционерное общество «Юнипро»,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w:t>
      </w:r>
      <w:r w:rsidRPr="009D44C9">
        <w:rPr>
          <w:rFonts w:ascii="Arial" w:hAnsi="Arial" w:cs="Arial"/>
          <w:sz w:val="22"/>
          <w:szCs w:val="22"/>
        </w:rPr>
        <w:lastRenderedPageBreak/>
        <w:t>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размер истребуемой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размер истребуемой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2" w:name="OCRUncertain200"/>
      <w:r w:rsidRPr="008A3DA8">
        <w:rPr>
          <w:rFonts w:ascii="Arial" w:hAnsi="Arial" w:cs="Arial"/>
          <w:sz w:val="22"/>
          <w:szCs w:val="22"/>
        </w:rPr>
        <w:t>доказывания</w:t>
      </w:r>
      <w:bookmarkEnd w:id="2"/>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9"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«Юнипро»</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lastRenderedPageBreak/>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Энергостроителей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«Юнипро»</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r w:rsidRPr="009C2DB9">
              <w:rPr>
                <w:rFonts w:ascii="Arial" w:hAnsi="Arial" w:cs="Arial"/>
                <w:b/>
                <w:sz w:val="21"/>
                <w:szCs w:val="21"/>
              </w:rPr>
              <w:t>ИНН  8602067092/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r w:rsidRPr="008A3DA8">
        <w:rPr>
          <w:rFonts w:ascii="Arial" w:hAnsi="Arial" w:cs="Arial"/>
          <w:sz w:val="22"/>
          <w:szCs w:val="22"/>
        </w:rPr>
        <w:t xml:space="preserve">  «____»__________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 xml:space="preserve">Публичное акционерное общество «Юнипро»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134571"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3. Срок поставки:</w:t>
      </w:r>
      <w:r w:rsidR="00134571">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662328, Красноярский край, Шарыповский район, с. Холмогорское, промбаза "Энергетиков", строение  1/15.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lastRenderedPageBreak/>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«Юнипро»: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662328, Красноярский край, Шарыповский район, с. Холмогорское, промбаза "Энергетиков", строение  1/15.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w:t>
      </w:r>
      <w:r w:rsidRPr="008A3DA8">
        <w:rPr>
          <w:rFonts w:ascii="Arial" w:hAnsi="Arial" w:cs="Arial"/>
          <w:b/>
          <w:sz w:val="22"/>
          <w:szCs w:val="22"/>
        </w:rPr>
        <w:lastRenderedPageBreak/>
        <w:t xml:space="preserve">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102944" w:rsidRDefault="008A3DA8" w:rsidP="008A3DA8">
      <w:pPr>
        <w:pStyle w:val="affe"/>
        <w:tabs>
          <w:tab w:val="num" w:pos="0"/>
          <w:tab w:val="num" w:pos="851"/>
        </w:tabs>
        <w:ind w:right="-2" w:firstLine="567"/>
        <w:rPr>
          <w:rFonts w:ascii="Arial" w:hAnsi="Arial" w:cs="Arial"/>
          <w:bCs/>
          <w:sz w:val="22"/>
          <w:szCs w:val="22"/>
        </w:rPr>
      </w:pPr>
      <w:r w:rsidRPr="00102944">
        <w:rPr>
          <w:rFonts w:ascii="Arial" w:hAnsi="Arial" w:cs="Arial"/>
          <w:b/>
          <w:sz w:val="22"/>
          <w:szCs w:val="22"/>
        </w:rPr>
        <w:t>8.</w:t>
      </w:r>
      <w:r w:rsidRPr="00102944">
        <w:rPr>
          <w:rFonts w:ascii="Arial" w:hAnsi="Arial" w:cs="Arial"/>
          <w:sz w:val="22"/>
          <w:szCs w:val="22"/>
        </w:rPr>
        <w:t xml:space="preserve"> </w:t>
      </w:r>
      <w:r w:rsidRPr="00102944">
        <w:rPr>
          <w:rFonts w:ascii="Arial" w:hAnsi="Arial" w:cs="Arial"/>
          <w:b/>
          <w:bCs/>
          <w:sz w:val="22"/>
          <w:szCs w:val="22"/>
        </w:rPr>
        <w:t>Гарантийный срок</w:t>
      </w:r>
      <w:r w:rsidRPr="00102944">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102944" w:rsidRDefault="008A3DA8" w:rsidP="008A3DA8">
      <w:pPr>
        <w:pStyle w:val="affe"/>
        <w:ind w:firstLine="567"/>
        <w:rPr>
          <w:rFonts w:ascii="Arial" w:hAnsi="Arial" w:cs="Arial"/>
          <w:b/>
          <w:sz w:val="22"/>
          <w:szCs w:val="22"/>
        </w:rPr>
      </w:pP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10. Номер спецификации в ERP системе покупателя:</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11. Адрес электронной почты для направления уведомления о предстоящей передаче продукции:</w:t>
      </w:r>
      <w:r w:rsidRPr="00102944">
        <w:rPr>
          <w:rFonts w:ascii="Arial" w:hAnsi="Arial" w:cs="Arial"/>
          <w:sz w:val="22"/>
          <w:szCs w:val="22"/>
        </w:rPr>
        <w:t> </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r w:rsidR="002B4431" w:rsidRPr="008A3DA8">
        <w:rPr>
          <w:rFonts w:ascii="Arial" w:hAnsi="Arial" w:cs="Arial"/>
          <w:b/>
          <w:color w:val="000000"/>
          <w:sz w:val="22"/>
          <w:szCs w:val="22"/>
        </w:rPr>
        <w:t>м.п.</w:t>
      </w:r>
      <w:r w:rsidRPr="008A3DA8">
        <w:rPr>
          <w:rFonts w:ascii="Arial" w:hAnsi="Arial" w:cs="Arial"/>
          <w:b/>
          <w:color w:val="000000"/>
          <w:sz w:val="22"/>
          <w:szCs w:val="22"/>
        </w:rPr>
        <w:t xml:space="preserve">                              _______________</w:t>
      </w:r>
      <w:r w:rsidR="002B4431" w:rsidRPr="008A3DA8">
        <w:rPr>
          <w:rFonts w:ascii="Arial" w:hAnsi="Arial" w:cs="Arial"/>
          <w:b/>
          <w:color w:val="000000"/>
          <w:sz w:val="22"/>
          <w:szCs w:val="22"/>
        </w:rPr>
        <w:t>м.п.</w:t>
      </w:r>
      <w:r w:rsidRPr="008A3DA8">
        <w:rPr>
          <w:rFonts w:ascii="Arial" w:hAnsi="Arial" w:cs="Arial"/>
          <w:b/>
          <w:color w:val="000000"/>
          <w:sz w:val="22"/>
          <w:szCs w:val="22"/>
        </w:rPr>
        <w:t xml:space="preserve"> </w:t>
      </w:r>
    </w:p>
    <w:sectPr w:rsidR="00316B64" w:rsidRPr="008A3DA8" w:rsidSect="00134571">
      <w:headerReference w:type="default" r:id="rId10"/>
      <w:footerReference w:type="default" r:id="rId11"/>
      <w:pgSz w:w="11906" w:h="16838" w:code="9"/>
      <w:pgMar w:top="284"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AC" w:rsidRDefault="009347AC">
      <w:r>
        <w:separator/>
      </w:r>
    </w:p>
  </w:endnote>
  <w:endnote w:type="continuationSeparator" w:id="0">
    <w:p w:rsidR="009347AC" w:rsidRDefault="0093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87662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A650D8">
          <w:rPr>
            <w:noProof/>
          </w:rPr>
          <w:t>1</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AC" w:rsidRDefault="009347AC">
      <w:r>
        <w:separator/>
      </w:r>
    </w:p>
  </w:footnote>
  <w:footnote w:type="continuationSeparator" w:id="0">
    <w:p w:rsidR="009347AC" w:rsidRDefault="0093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01080" w:rsidRDefault="008A3DA8" w:rsidP="00F71DC5">
    <w:pPr>
      <w:pStyle w:val="ae"/>
      <w:pBdr>
        <w:bottom w:val="none" w:sz="0" w:space="0" w:color="auto"/>
      </w:pBdr>
      <w:tabs>
        <w:tab w:val="clear" w:pos="4153"/>
        <w:tab w:val="clear" w:pos="8306"/>
        <w:tab w:val="center" w:pos="5102"/>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71"/>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BA6"/>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B76"/>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D38"/>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7AC"/>
    <w:rsid w:val="00935526"/>
    <w:rsid w:val="009358C5"/>
    <w:rsid w:val="00935A0E"/>
    <w:rsid w:val="009406B7"/>
    <w:rsid w:val="009431CE"/>
    <w:rsid w:val="009449FF"/>
    <w:rsid w:val="00944EA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0D8"/>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32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70974-C8FF-4C1F-A459-671F6C7B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8354</Words>
  <Characters>47621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55864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2</cp:revision>
  <cp:lastPrinted>2015-08-13T14:45:00Z</cp:lastPrinted>
  <dcterms:created xsi:type="dcterms:W3CDTF">2017-10-26T08:14:00Z</dcterms:created>
  <dcterms:modified xsi:type="dcterms:W3CDTF">2017-10-26T08:14:00Z</dcterms:modified>
</cp:coreProperties>
</file>