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16BDB507"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73396C">
        <w:rPr>
          <w:rFonts w:ascii="Verdana" w:hAnsi="Verdana"/>
          <w:b w:val="0"/>
          <w:i/>
          <w:sz w:val="20"/>
        </w:rPr>
        <w:t>1</w:t>
      </w:r>
      <w:r w:rsidR="00B24E9B" w:rsidRPr="002007FA">
        <w:rPr>
          <w:rFonts w:ascii="Verdana" w:hAnsi="Verdana"/>
          <w:b w:val="0"/>
          <w:i/>
          <w:sz w:val="20"/>
        </w:rPr>
        <w:t>0</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FC0FF2">
        <w:rPr>
          <w:rFonts w:ascii="Verdana" w:hAnsi="Verdana"/>
          <w:b w:val="0"/>
          <w:i/>
          <w:sz w:val="20"/>
        </w:rPr>
        <w:t>148</w:t>
      </w:r>
      <w:r w:rsidR="002007FA" w:rsidRPr="002007FA">
        <w:rPr>
          <w:rFonts w:ascii="Verdana" w:hAnsi="Verdana"/>
          <w:b w:val="0"/>
          <w:i/>
          <w:sz w:val="20"/>
        </w:rPr>
        <w:t xml:space="preserve"> от «</w:t>
      </w:r>
      <w:r w:rsidR="00FC0FF2">
        <w:rPr>
          <w:rFonts w:ascii="Verdana" w:hAnsi="Verdana"/>
          <w:b w:val="0"/>
          <w:i/>
          <w:sz w:val="20"/>
        </w:rPr>
        <w:t>25</w:t>
      </w:r>
      <w:bookmarkStart w:id="0" w:name="_GoBack"/>
      <w:bookmarkEnd w:id="0"/>
      <w:r w:rsidR="002007FA" w:rsidRPr="002007FA">
        <w:rPr>
          <w:rFonts w:ascii="Verdana" w:hAnsi="Verdana"/>
          <w:b w:val="0"/>
          <w:i/>
          <w:sz w:val="20"/>
        </w:rPr>
        <w:t>» а</w:t>
      </w:r>
      <w:r w:rsidR="00742CC4">
        <w:rPr>
          <w:rFonts w:ascii="Verdana" w:hAnsi="Verdana"/>
          <w:b w:val="0"/>
          <w:i/>
          <w:sz w:val="20"/>
        </w:rPr>
        <w:t>вгус</w:t>
      </w:r>
      <w:r w:rsidR="002007FA" w:rsidRPr="002007FA">
        <w:rPr>
          <w:rFonts w:ascii="Verdana" w:hAnsi="Verdana"/>
          <w:b w:val="0"/>
          <w:i/>
          <w:sz w:val="20"/>
        </w:rPr>
        <w:t>та 2017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C42749">
        <w:rPr>
          <w:rFonts w:ascii="Verdana" w:hAnsi="Verdana"/>
          <w:sz w:val="22"/>
          <w:szCs w:val="22"/>
          <w:lang w:val="ru-RU"/>
        </w:rPr>
        <w:lastRenderedPageBreak/>
        <w:t>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w:t>
      </w:r>
      <w:r w:rsidRPr="00C42749">
        <w:rPr>
          <w:rFonts w:ascii="Verdana" w:hAnsi="Verdana"/>
          <w:i/>
          <w:sz w:val="22"/>
          <w:szCs w:val="22"/>
        </w:rPr>
        <w:lastRenderedPageBreak/>
        <w:t>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w:t>
      </w:r>
      <w:r w:rsidRPr="00C42749">
        <w:rPr>
          <w:rFonts w:ascii="Verdana" w:hAnsi="Verdana"/>
          <w:i/>
          <w:sz w:val="22"/>
          <w:szCs w:val="22"/>
        </w:rPr>
        <w:lastRenderedPageBreak/>
        <w:t xml:space="preserve">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xml:space="preserve">, начавшиеся </w:t>
      </w:r>
      <w:r w:rsidR="008F32DB" w:rsidRPr="00C06920">
        <w:rPr>
          <w:sz w:val="22"/>
        </w:rPr>
        <w:lastRenderedPageBreak/>
        <w:t>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к защите ставшей </w:t>
      </w:r>
      <w:r w:rsidR="00DC0D32" w:rsidRPr="00C42749">
        <w:rPr>
          <w:rFonts w:ascii="Verdana" w:hAnsi="Verdana"/>
          <w:sz w:val="22"/>
          <w:szCs w:val="22"/>
          <w:lang w:val="ru-RU"/>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5DAC2" w14:textId="77777777" w:rsidR="00666D6D" w:rsidRDefault="00666D6D">
      <w:r>
        <w:separator/>
      </w:r>
    </w:p>
  </w:endnote>
  <w:endnote w:type="continuationSeparator" w:id="0">
    <w:p w14:paraId="669196A4" w14:textId="77777777" w:rsidR="00666D6D" w:rsidRDefault="00666D6D">
      <w:r>
        <w:continuationSeparator/>
      </w:r>
    </w:p>
  </w:endnote>
  <w:endnote w:type="continuationNotice" w:id="1">
    <w:p w14:paraId="78EF5FFD" w14:textId="77777777" w:rsidR="00666D6D" w:rsidRDefault="0066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C0FF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04D9B" w14:textId="77777777" w:rsidR="00666D6D" w:rsidRDefault="00666D6D">
      <w:r>
        <w:separator/>
      </w:r>
    </w:p>
  </w:footnote>
  <w:footnote w:type="continuationSeparator" w:id="0">
    <w:p w14:paraId="620D3E8B" w14:textId="77777777" w:rsidR="00666D6D" w:rsidRDefault="00666D6D">
      <w:r>
        <w:continuationSeparator/>
      </w:r>
    </w:p>
  </w:footnote>
  <w:footnote w:type="continuationNotice" w:id="1">
    <w:p w14:paraId="7F662A18" w14:textId="77777777" w:rsidR="00666D6D" w:rsidRDefault="00666D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26FBE6D-AF8A-4413-97A7-84413D79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8656</Words>
  <Characters>49343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57884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Горохов Константин Павлович</cp:lastModifiedBy>
  <cp:revision>34</cp:revision>
  <cp:lastPrinted>2008-10-16T11:25:00Z</cp:lastPrinted>
  <dcterms:created xsi:type="dcterms:W3CDTF">2017-03-24T14:03:00Z</dcterms:created>
  <dcterms:modified xsi:type="dcterms:W3CDTF">2017-08-25T12:03:00Z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