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4F24A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4F24A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4F24A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4F24A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w:t>
      </w:r>
      <w:r w:rsidR="004F24A4">
        <w:rPr>
          <w:color w:val="000000"/>
          <w:sz w:val="24"/>
          <w:szCs w:val="24"/>
        </w:rPr>
        <w:t>18</w:t>
      </w:r>
      <w:r w:rsidR="00F615D3" w:rsidRPr="001F2C0F">
        <w:rPr>
          <w:sz w:val="24"/>
          <w:szCs w:val="24"/>
        </w:rPr>
        <w:t xml:space="preserve"> от </w:t>
      </w:r>
      <w:r w:rsidR="0097700B">
        <w:rPr>
          <w:sz w:val="24"/>
          <w:szCs w:val="24"/>
        </w:rPr>
        <w:t>2</w:t>
      </w:r>
      <w:r w:rsidR="004F24A4">
        <w:rPr>
          <w:sz w:val="24"/>
          <w:szCs w:val="24"/>
        </w:rPr>
        <w:t>2</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4F24A4">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4F24A4">
              <w:rPr>
                <w:bCs/>
                <w:sz w:val="24"/>
                <w:szCs w:val="24"/>
              </w:rPr>
              <w:t>трубной продукции (черный металл)</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2</w:t>
            </w:r>
            <w:r w:rsidRPr="00713B23">
              <w:rPr>
                <w:b/>
                <w:sz w:val="24"/>
                <w:szCs w:val="24"/>
                <w:lang w:eastAsia="en-US"/>
              </w:rPr>
              <w:t xml:space="preserve">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F309E6" w:rsidRPr="00713B23"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F309E6" w:rsidP="0097700B">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97700B">
              <w:rPr>
                <w:b/>
                <w:sz w:val="24"/>
                <w:szCs w:val="24"/>
                <w:lang w:eastAsia="en-US"/>
              </w:rPr>
              <w:t>4</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76162D"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97700B">
              <w:rPr>
                <w:sz w:val="24"/>
                <w:szCs w:val="24"/>
                <w:lang w:eastAsia="en-US"/>
              </w:rPr>
              <w:t>2</w:t>
            </w:r>
            <w:r w:rsidR="004F24A4">
              <w:rPr>
                <w:sz w:val="24"/>
                <w:szCs w:val="24"/>
                <w:lang w:eastAsia="en-US"/>
              </w:rPr>
              <w:t>2</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4F24A4">
              <w:rPr>
                <w:sz w:val="24"/>
                <w:szCs w:val="24"/>
                <w:lang w:eastAsia="en-US"/>
              </w:rPr>
              <w:t>12</w:t>
            </w:r>
            <w:bookmarkStart w:id="4" w:name="_GoBack"/>
            <w:bookmarkEnd w:id="4"/>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97700B">
              <w:rPr>
                <w:b/>
                <w:color w:val="000000"/>
                <w:sz w:val="24"/>
                <w:szCs w:val="24"/>
                <w:u w:val="single"/>
              </w:rPr>
              <w:t>2</w:t>
            </w:r>
            <w:r w:rsidRPr="0086710C">
              <w:rPr>
                <w:b/>
                <w:color w:val="000000"/>
                <w:sz w:val="24"/>
                <w:szCs w:val="24"/>
                <w:u w:val="single"/>
              </w:rPr>
              <w:t>:</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97700B">
              <w:rPr>
                <w:b/>
                <w:color w:val="000000"/>
                <w:sz w:val="24"/>
                <w:szCs w:val="24"/>
                <w:u w:val="single"/>
              </w:rPr>
              <w:t>3</w:t>
            </w:r>
            <w:r w:rsidRPr="0086710C">
              <w:rPr>
                <w:b/>
                <w:color w:val="000000"/>
                <w:sz w:val="24"/>
                <w:szCs w:val="24"/>
                <w:u w:val="single"/>
              </w:rPr>
              <w:t>:</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F309E6" w:rsidRDefault="00F309E6" w:rsidP="00F309E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w:t>
            </w:r>
            <w:r w:rsidR="0097700B">
              <w:rPr>
                <w:b/>
                <w:bCs/>
                <w:sz w:val="24"/>
                <w:szCs w:val="24"/>
                <w:u w:val="single"/>
              </w:rPr>
              <w:t>4</w:t>
            </w:r>
            <w:r w:rsidRPr="0086710C">
              <w:rPr>
                <w:b/>
                <w:bCs/>
                <w:sz w:val="24"/>
                <w:szCs w:val="24"/>
                <w:u w:val="single"/>
              </w:rPr>
              <w:t xml:space="preserve">: </w:t>
            </w:r>
          </w:p>
          <w:p w:rsidR="00F309E6" w:rsidRPr="00F6626D" w:rsidRDefault="00F309E6" w:rsidP="00F309E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F309E6" w:rsidP="00F309E6">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7700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lastRenderedPageBreak/>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97700B" w:rsidRDefault="0097700B" w:rsidP="0097700B">
      <w:pPr>
        <w:pStyle w:val="a4"/>
        <w:numPr>
          <w:ilvl w:val="0"/>
          <w:numId w:val="0"/>
        </w:numPr>
        <w:spacing w:line="276" w:lineRule="auto"/>
        <w:rPr>
          <w:sz w:val="24"/>
          <w:szCs w:val="24"/>
        </w:rPr>
      </w:pPr>
    </w:p>
    <w:p w:rsidR="00BC5425" w:rsidRPr="004747FE" w:rsidRDefault="0097700B" w:rsidP="0097700B">
      <w:pPr>
        <w:pStyle w:val="a4"/>
        <w:numPr>
          <w:ilvl w:val="0"/>
          <w:numId w:val="0"/>
        </w:numPr>
        <w:spacing w:line="276" w:lineRule="auto"/>
        <w:rPr>
          <w:sz w:val="24"/>
          <w:szCs w:val="24"/>
        </w:rPr>
      </w:pPr>
      <w:r>
        <w:rPr>
          <w:sz w:val="24"/>
          <w:szCs w:val="24"/>
        </w:rPr>
        <w:t xml:space="preserve">Настоящий </w:t>
      </w:r>
      <w:r w:rsidR="00BC5425" w:rsidRPr="004747FE">
        <w:rPr>
          <w:sz w:val="24"/>
          <w:szCs w:val="24"/>
        </w:rPr>
        <w:t xml:space="preserve">Раздел дополняет условия проведения Запроса предложений и </w:t>
      </w:r>
      <w:r w:rsidR="00160575" w:rsidRPr="004747FE">
        <w:rPr>
          <w:sz w:val="24"/>
          <w:szCs w:val="24"/>
        </w:rPr>
        <w:t>И</w:t>
      </w:r>
      <w:r w:rsidR="00BC5425"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4F24A4">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24A4"/>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00B"/>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81FDC-9408-4DA4-8E0E-9C34BBC1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5139</Words>
  <Characters>29297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34368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2017-09-22T12:10:00Z</dcterms:created>
  <dcterms:modified xsi:type="dcterms:W3CDTF">2017-09-22T12:10:00Z</dcterms:modified>
</cp:coreProperties>
</file>