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C95B7C">
        <w:rPr>
          <w:b/>
          <w:sz w:val="24"/>
          <w:szCs w:val="24"/>
        </w:rPr>
        <w:t>2</w:t>
      </w:r>
      <w:r w:rsidR="002F51B0" w:rsidRPr="002F51B0">
        <w:rPr>
          <w:b/>
          <w:sz w:val="24"/>
          <w:szCs w:val="24"/>
        </w:rPr>
        <w:t>72</w:t>
      </w:r>
      <w:r w:rsidR="00C95B7C" w:rsidRPr="00C95B7C">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A12D69" w:rsidRPr="00A12D69">
        <w:rPr>
          <w:color w:val="000000"/>
          <w:sz w:val="24"/>
          <w:szCs w:val="24"/>
        </w:rPr>
        <w:t>2</w:t>
      </w:r>
      <w:r w:rsidR="002F51B0" w:rsidRPr="002F51B0">
        <w:rPr>
          <w:color w:val="000000"/>
          <w:sz w:val="24"/>
          <w:szCs w:val="24"/>
        </w:rPr>
        <w:t>72</w:t>
      </w:r>
      <w:r w:rsidR="00055A26">
        <w:rPr>
          <w:sz w:val="24"/>
          <w:szCs w:val="24"/>
        </w:rPr>
        <w:t>/ПМ</w:t>
      </w:r>
      <w:r w:rsidR="00F62CCE" w:rsidRPr="00E357D4">
        <w:rPr>
          <w:sz w:val="24"/>
          <w:szCs w:val="24"/>
        </w:rPr>
        <w:t xml:space="preserve"> от </w:t>
      </w:r>
      <w:r w:rsidR="002F51B0" w:rsidRPr="002F51B0">
        <w:rPr>
          <w:sz w:val="24"/>
          <w:szCs w:val="24"/>
        </w:rPr>
        <w:t>11</w:t>
      </w:r>
      <w:r w:rsidR="00F62CCE" w:rsidRPr="00E357D4">
        <w:rPr>
          <w:sz w:val="24"/>
          <w:szCs w:val="24"/>
        </w:rPr>
        <w:t>.</w:t>
      </w:r>
      <w:r w:rsidR="00334722">
        <w:rPr>
          <w:sz w:val="24"/>
          <w:szCs w:val="24"/>
        </w:rPr>
        <w:t>0</w:t>
      </w:r>
      <w:r w:rsidR="00F2447A">
        <w:rPr>
          <w:sz w:val="24"/>
          <w:szCs w:val="24"/>
        </w:rPr>
        <w:t>8</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A7F46" w:rsidP="002F51B0">
            <w:pPr>
              <w:pStyle w:val="a5"/>
              <w:numPr>
                <w:ilvl w:val="0"/>
                <w:numId w:val="0"/>
              </w:numPr>
              <w:spacing w:line="276" w:lineRule="auto"/>
              <w:ind w:left="54"/>
              <w:rPr>
                <w:bCs/>
                <w:sz w:val="24"/>
                <w:szCs w:val="24"/>
              </w:rPr>
            </w:pPr>
            <w:r w:rsidRPr="00283F49">
              <w:rPr>
                <w:color w:val="000000"/>
                <w:sz w:val="24"/>
                <w:szCs w:val="24"/>
              </w:rPr>
              <w:t xml:space="preserve">Поставка </w:t>
            </w:r>
            <w:r w:rsidR="002F51B0">
              <w:rPr>
                <w:color w:val="000000"/>
                <w:sz w:val="24"/>
                <w:szCs w:val="24"/>
              </w:rPr>
              <w:t xml:space="preserve">ТМЦ для утепления </w:t>
            </w:r>
            <w:proofErr w:type="spellStart"/>
            <w:r w:rsidR="002F51B0">
              <w:rPr>
                <w:color w:val="000000"/>
                <w:sz w:val="24"/>
                <w:szCs w:val="24"/>
              </w:rPr>
              <w:t>багерного</w:t>
            </w:r>
            <w:proofErr w:type="spellEnd"/>
            <w:r w:rsidR="002F51B0">
              <w:rPr>
                <w:color w:val="000000"/>
                <w:sz w:val="24"/>
                <w:szCs w:val="24"/>
              </w:rPr>
              <w:t xml:space="preserve"> приямка</w:t>
            </w:r>
            <w:r w:rsidR="00833F7E">
              <w:rPr>
                <w:color w:val="000000"/>
                <w:sz w:val="24"/>
                <w:szCs w:val="24"/>
              </w:rPr>
              <w:t xml:space="preserve"> </w:t>
            </w:r>
            <w:r w:rsidR="00833196">
              <w:rPr>
                <w:color w:val="000000"/>
                <w:sz w:val="24"/>
                <w:szCs w:val="24"/>
              </w:rPr>
              <w:t xml:space="preserve"> </w:t>
            </w:r>
            <w:r w:rsidR="00833196" w:rsidRPr="00283F49">
              <w:rPr>
                <w:color w:val="000000"/>
                <w:sz w:val="24"/>
                <w:szCs w:val="24"/>
              </w:rPr>
              <w:t>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283F49">
              <w:rPr>
                <w:color w:val="000000"/>
                <w:sz w:val="24"/>
                <w:szCs w:val="24"/>
              </w:rPr>
              <w:t>Берёзовская</w:t>
            </w:r>
            <w:proofErr w:type="spellEnd"/>
            <w:r w:rsidR="00833196" w:rsidRPr="00283F49">
              <w:rPr>
                <w:color w:val="000000"/>
                <w:sz w:val="24"/>
                <w:szCs w:val="24"/>
              </w:rPr>
              <w:t>» ГРЭС ПАО «</w:t>
            </w:r>
            <w:proofErr w:type="spellStart"/>
            <w:r w:rsidR="00833196" w:rsidRPr="00283F49">
              <w:rPr>
                <w:color w:val="000000"/>
                <w:sz w:val="24"/>
                <w:szCs w:val="24"/>
              </w:rPr>
              <w:t>Юнипро</w:t>
            </w:r>
            <w:proofErr w:type="spellEnd"/>
            <w:r w:rsidR="00833196" w:rsidRPr="00283F49">
              <w:rPr>
                <w:color w:val="000000"/>
                <w:sz w:val="24"/>
                <w:szCs w:val="24"/>
              </w:rPr>
              <w:t>»</w:t>
            </w:r>
            <w:r w:rsidR="002F51B0">
              <w:rPr>
                <w:color w:val="000000"/>
                <w:sz w:val="24"/>
                <w:szCs w:val="24"/>
              </w:rPr>
              <w:t xml:space="preserve"> после аварии.</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A02EF">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7A02EF" w:rsidRPr="007A02EF" w:rsidRDefault="00DC5F4E" w:rsidP="007A02EF">
            <w:pPr>
              <w:pStyle w:val="affff4"/>
              <w:spacing w:before="0" w:beforeAutospacing="0" w:after="0" w:afterAutospacing="0"/>
              <w:jc w:val="both"/>
              <w:rPr>
                <w:color w:val="000000" w:themeColor="text1"/>
                <w:u w:val="single"/>
              </w:rPr>
            </w:pPr>
            <w:hyperlink r:id="rId10"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7A02EF">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2F51B0">
              <w:rPr>
                <w:sz w:val="24"/>
                <w:szCs w:val="24"/>
                <w:lang w:eastAsia="en-US"/>
              </w:rPr>
              <w:t>16</w:t>
            </w:r>
            <w:r w:rsidRPr="00CB5A92">
              <w:rPr>
                <w:sz w:val="24"/>
                <w:szCs w:val="24"/>
                <w:lang w:eastAsia="en-US"/>
              </w:rPr>
              <w:t>.</w:t>
            </w:r>
            <w:r w:rsidR="00050C6B">
              <w:rPr>
                <w:sz w:val="24"/>
                <w:szCs w:val="24"/>
                <w:lang w:eastAsia="en-US"/>
              </w:rPr>
              <w:t>08</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7A02EF" w:rsidRPr="007A02EF" w:rsidRDefault="00DC5F4E" w:rsidP="007A02EF">
            <w:pPr>
              <w:pStyle w:val="affff4"/>
              <w:spacing w:before="0" w:beforeAutospacing="0" w:after="0" w:afterAutospacing="0"/>
              <w:jc w:val="both"/>
              <w:rPr>
                <w:color w:val="000000" w:themeColor="text1"/>
                <w:u w:val="single"/>
              </w:rPr>
            </w:pPr>
            <w:hyperlink r:id="rId11"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04281C" w:rsidRPr="00487E97" w:rsidRDefault="0004281C" w:rsidP="00A81EAA">
            <w:pPr>
              <w:autoSpaceDE w:val="0"/>
              <w:autoSpaceDN w:val="0"/>
              <w:adjustRightInd w:val="0"/>
              <w:spacing w:line="276" w:lineRule="auto"/>
              <w:ind w:firstLine="0"/>
              <w:rPr>
                <w:sz w:val="24"/>
                <w:szCs w:val="24"/>
                <w:lang w:eastAsia="en-US"/>
              </w:rPr>
            </w:pP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DC5F4E"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83F49" w:rsidRPr="00CC6391">
        <w:rPr>
          <w:color w:val="000000"/>
          <w:sz w:val="24"/>
          <w:szCs w:val="24"/>
        </w:rPr>
        <w:t>График поставки товара  (форма</w:t>
      </w:r>
      <w:r w:rsidR="00283F49" w:rsidRPr="00CC6391">
        <w:rPr>
          <w:noProof/>
          <w:color w:val="000000"/>
          <w:sz w:val="24"/>
          <w:szCs w:val="24"/>
        </w:rPr>
        <w:t xml:space="preserve"> </w:t>
      </w:r>
      <w:r w:rsidR="00283F49">
        <w:rPr>
          <w:noProof/>
          <w:color w:val="000000"/>
          <w:sz w:val="24"/>
          <w:szCs w:val="24"/>
        </w:rPr>
        <w:t>3</w:t>
      </w:r>
      <w:r w:rsidR="00283F49"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83F49" w:rsidRPr="00283F49">
        <w:rPr>
          <w:color w:val="000000"/>
          <w:sz w:val="24"/>
          <w:szCs w:val="24"/>
        </w:rPr>
        <w:t>Анкета Участника (форма 5</w:t>
      </w:r>
      <w:r w:rsidR="00283F49" w:rsidRPr="00283F4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83F49" w:rsidRPr="00283F49">
        <w:rPr>
          <w:color w:val="000000"/>
          <w:sz w:val="24"/>
          <w:szCs w:val="24"/>
        </w:rPr>
        <w:t>Справка о перечне и годовых объемах выполнения аналогичных договоров (форма 6</w:t>
      </w:r>
      <w:r w:rsidR="00283F49" w:rsidRPr="00283F4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83F4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83F4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B520BB">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B520BB">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520BB" w:rsidRPr="00CC6391" w:rsidRDefault="00B520BB"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91399B" w:rsidRPr="003D7A75" w:rsidRDefault="0091399B" w:rsidP="0091399B">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91399B" w:rsidRPr="00E055B1" w:rsidRDefault="0091399B" w:rsidP="0091399B">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91399B" w:rsidRPr="00E055B1" w:rsidRDefault="0091399B" w:rsidP="0091399B">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91399B" w:rsidRPr="00E055B1" w:rsidRDefault="0091399B" w:rsidP="0091399B">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91399B" w:rsidRPr="00E055B1" w:rsidRDefault="0091399B" w:rsidP="0091399B">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91399B" w:rsidRPr="00E055B1" w:rsidRDefault="0091399B" w:rsidP="0091399B">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91399B" w:rsidRPr="00E055B1" w:rsidRDefault="0091399B" w:rsidP="0091399B">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91399B" w:rsidRPr="00E055B1" w:rsidRDefault="0091399B" w:rsidP="0091399B">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91399B" w:rsidRPr="00E055B1" w:rsidTr="00197A91">
        <w:trPr>
          <w:tblCellSpacing w:w="15" w:type="dxa"/>
        </w:trPr>
        <w:tc>
          <w:tcPr>
            <w:tcW w:w="2500" w:type="pct"/>
            <w:vAlign w:val="center"/>
            <w:hideMark/>
          </w:tcPr>
          <w:p w:rsidR="0091399B" w:rsidRPr="00E055B1" w:rsidRDefault="0091399B" w:rsidP="00197A91">
            <w:pPr>
              <w:rPr>
                <w:bCs/>
                <w:sz w:val="24"/>
                <w:szCs w:val="24"/>
              </w:rPr>
            </w:pPr>
            <w:r w:rsidRPr="00E055B1">
              <w:rPr>
                <w:bCs/>
                <w:sz w:val="24"/>
                <w:szCs w:val="24"/>
              </w:rPr>
              <w:t>С уважением,</w:t>
            </w:r>
          </w:p>
        </w:tc>
        <w:tc>
          <w:tcPr>
            <w:tcW w:w="500" w:type="pct"/>
            <w:vAlign w:val="center"/>
            <w:hideMark/>
          </w:tcPr>
          <w:p w:rsidR="0091399B" w:rsidRPr="00E055B1" w:rsidRDefault="0091399B" w:rsidP="00197A91">
            <w:pPr>
              <w:rPr>
                <w:sz w:val="24"/>
                <w:szCs w:val="24"/>
              </w:rPr>
            </w:pPr>
            <w:r w:rsidRPr="00E055B1">
              <w:rPr>
                <w:sz w:val="24"/>
                <w:szCs w:val="24"/>
              </w:rPr>
              <w:t> </w:t>
            </w:r>
          </w:p>
        </w:tc>
        <w:tc>
          <w:tcPr>
            <w:tcW w:w="2000" w:type="pct"/>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ФИО</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proofErr w:type="spellStart"/>
            <w:r w:rsidRPr="00E055B1">
              <w:rPr>
                <w:b/>
                <w:sz w:val="24"/>
                <w:szCs w:val="24"/>
              </w:rPr>
              <w:t>Email</w:t>
            </w:r>
            <w:proofErr w:type="spellEnd"/>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Номер телефона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Дата</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tcBorders>
              <w:top w:val="single" w:sz="6" w:space="0" w:color="000000"/>
            </w:tcBorders>
            <w:vAlign w:val="center"/>
            <w:hideMark/>
          </w:tcPr>
          <w:p w:rsidR="0091399B" w:rsidRPr="00E055B1" w:rsidRDefault="0091399B" w:rsidP="00197A91">
            <w:pPr>
              <w:ind w:firstLine="0"/>
              <w:rPr>
                <w:sz w:val="24"/>
                <w:szCs w:val="24"/>
              </w:rPr>
            </w:pPr>
            <w:r w:rsidRPr="00E055B1">
              <w:rPr>
                <w:sz w:val="24"/>
                <w:szCs w:val="24"/>
              </w:rPr>
              <w:t>(подпись)    (расшифровка подписи)</w:t>
            </w:r>
          </w:p>
        </w:tc>
      </w:tr>
    </w:tbl>
    <w:p w:rsidR="0091399B" w:rsidRPr="00E055B1" w:rsidRDefault="0091399B" w:rsidP="0091399B">
      <w:pPr>
        <w:rPr>
          <w:sz w:val="24"/>
          <w:szCs w:val="24"/>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Pr="00CC6391" w:rsidRDefault="0091399B" w:rsidP="0091399B">
      <w:pPr>
        <w:spacing w:line="276" w:lineRule="auto"/>
        <w:ind w:right="3684"/>
        <w:jc w:val="center"/>
        <w:rPr>
          <w:sz w:val="24"/>
          <w:szCs w:val="24"/>
          <w:vertAlign w:val="superscript"/>
        </w:rPr>
      </w:pPr>
    </w:p>
    <w:p w:rsidR="0091399B" w:rsidRPr="00CC6391" w:rsidRDefault="0091399B" w:rsidP="0091399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AA73D8" w:rsidRPr="00D35A17" w:rsidRDefault="00AA73D8" w:rsidP="00AA73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AA73D8" w:rsidRDefault="00AA73D8" w:rsidP="00AA73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AA73D8" w:rsidRPr="00D35A17" w:rsidRDefault="00AA73D8" w:rsidP="00AA73D8">
      <w:pPr>
        <w:pStyle w:val="afffa"/>
        <w:tabs>
          <w:tab w:val="left" w:pos="9214"/>
          <w:tab w:val="left" w:pos="9356"/>
        </w:tabs>
        <w:spacing w:before="120" w:after="120"/>
        <w:ind w:left="600" w:right="45"/>
        <w:jc w:val="center"/>
        <w:rPr>
          <w:b/>
          <w:snapToGrid w:val="0"/>
          <w:sz w:val="22"/>
          <w:szCs w:val="22"/>
        </w:rPr>
      </w:pPr>
    </w:p>
    <w:p w:rsidR="00AA73D8" w:rsidRPr="00D35A17" w:rsidRDefault="00AA73D8" w:rsidP="00AA73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AA73D8" w:rsidRPr="00130EEB" w:rsidRDefault="00AA73D8" w:rsidP="00AA73D8">
      <w:pPr>
        <w:pStyle w:val="affe"/>
        <w:ind w:left="600" w:firstLine="0"/>
        <w:rPr>
          <w:rFonts w:ascii="Verdana" w:hAnsi="Verdana"/>
          <w:sz w:val="22"/>
          <w:szCs w:val="22"/>
        </w:rPr>
      </w:pPr>
    </w:p>
    <w:p w:rsidR="00AA73D8" w:rsidRDefault="00AA73D8" w:rsidP="00AA73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AA73D8" w:rsidRPr="00D35A17" w:rsidRDefault="00AA73D8" w:rsidP="00AA73D8">
      <w:pPr>
        <w:pStyle w:val="afffa"/>
        <w:tabs>
          <w:tab w:val="left" w:pos="9214"/>
          <w:tab w:val="left" w:pos="9356"/>
        </w:tabs>
        <w:spacing w:before="120" w:after="120"/>
        <w:ind w:left="0" w:right="45"/>
        <w:jc w:val="center"/>
        <w:rPr>
          <w:b/>
        </w:rPr>
      </w:pPr>
      <w:r w:rsidRPr="00D35A17">
        <w:rPr>
          <w:b/>
        </w:rPr>
        <w:t>1. Предмет Договора</w:t>
      </w:r>
    </w:p>
    <w:p w:rsidR="00AA73D8" w:rsidRPr="00D35A17" w:rsidRDefault="00AA73D8" w:rsidP="00AA73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AA73D8" w:rsidRPr="00D35A17" w:rsidRDefault="00AA73D8" w:rsidP="00AA73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A73D8" w:rsidRDefault="00AA73D8" w:rsidP="00AA73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AA73D8" w:rsidRPr="00D35A17" w:rsidRDefault="00AA73D8" w:rsidP="00AA73D8">
      <w:pPr>
        <w:pStyle w:val="affe"/>
        <w:ind w:firstLine="567"/>
        <w:rPr>
          <w:color w:val="auto"/>
          <w:sz w:val="24"/>
          <w:szCs w:val="24"/>
        </w:rPr>
      </w:pPr>
    </w:p>
    <w:p w:rsidR="00AA73D8" w:rsidRPr="00D35A17" w:rsidRDefault="00AA73D8" w:rsidP="00AA73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AA73D8" w:rsidRPr="00D35A17" w:rsidRDefault="00AA73D8" w:rsidP="00AA73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A73D8" w:rsidRPr="00D35A17" w:rsidRDefault="00AA73D8" w:rsidP="00AA73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AA73D8" w:rsidRPr="00D35A17" w:rsidRDefault="00AA73D8" w:rsidP="00AA73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A73D8" w:rsidRPr="00D35A17" w:rsidRDefault="00AA73D8" w:rsidP="00AA73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AA73D8" w:rsidRPr="00D35A17" w:rsidRDefault="00AA73D8" w:rsidP="00AA73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AA73D8" w:rsidRPr="00D35A17" w:rsidRDefault="00AA73D8" w:rsidP="00AA73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AA73D8" w:rsidRPr="00D35A17" w:rsidRDefault="00AA73D8" w:rsidP="00AA73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AA73D8" w:rsidRPr="00D35A17" w:rsidRDefault="00AA73D8" w:rsidP="00AA73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A73D8" w:rsidRPr="00D35A17" w:rsidRDefault="00AA73D8" w:rsidP="00AA73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A73D8" w:rsidRPr="00D35A17" w:rsidRDefault="00AA73D8" w:rsidP="00AA73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A73D8" w:rsidRPr="00D35A17" w:rsidRDefault="00AA73D8" w:rsidP="00AA73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AA73D8" w:rsidRPr="00D35A17" w:rsidRDefault="00AA73D8" w:rsidP="00AA73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AA73D8" w:rsidRPr="00D35A17" w:rsidRDefault="00AA73D8" w:rsidP="00AA73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AA73D8" w:rsidRPr="00D35A17" w:rsidRDefault="00AA73D8" w:rsidP="00AA73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A73D8" w:rsidRPr="00D35A17" w:rsidRDefault="00AA73D8" w:rsidP="00AA73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A73D8" w:rsidRPr="00D35A17" w:rsidRDefault="00AA73D8" w:rsidP="00AA73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AA73D8" w:rsidRPr="00D35A17" w:rsidRDefault="00AA73D8" w:rsidP="00AA73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AA73D8" w:rsidRPr="00D35A17" w:rsidRDefault="00AA73D8" w:rsidP="00AA73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A73D8" w:rsidRPr="00D35A17" w:rsidRDefault="00AA73D8" w:rsidP="00AA73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A73D8" w:rsidRPr="00D35A17" w:rsidRDefault="00AA73D8" w:rsidP="00AA73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AA73D8" w:rsidRPr="00D35A17" w:rsidRDefault="00AA73D8" w:rsidP="00AA73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A73D8" w:rsidRPr="00D35A17" w:rsidRDefault="00AA73D8" w:rsidP="00AA73D8">
      <w:pPr>
        <w:pStyle w:val="affe"/>
        <w:ind w:firstLine="0"/>
        <w:rPr>
          <w:color w:val="auto"/>
          <w:sz w:val="24"/>
          <w:szCs w:val="24"/>
        </w:rPr>
      </w:pPr>
      <w:r w:rsidRPr="00D35A17">
        <w:rPr>
          <w:color w:val="auto"/>
          <w:sz w:val="24"/>
          <w:szCs w:val="24"/>
        </w:rPr>
        <w:t>- реквизиты Договора;</w:t>
      </w:r>
    </w:p>
    <w:p w:rsidR="00AA73D8" w:rsidRPr="00D35A17" w:rsidRDefault="00AA73D8" w:rsidP="00AA73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AA73D8" w:rsidRPr="00D35A17" w:rsidRDefault="00AA73D8" w:rsidP="00AA73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AA73D8" w:rsidRPr="00D35A17" w:rsidRDefault="00AA73D8" w:rsidP="00AA73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AA73D8" w:rsidRPr="00D35A17" w:rsidRDefault="00AA73D8" w:rsidP="00AA73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AA73D8" w:rsidRPr="00D35A17" w:rsidRDefault="00AA73D8" w:rsidP="00AA73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A73D8" w:rsidRPr="00D35A17" w:rsidRDefault="00AA73D8" w:rsidP="00AA73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AA73D8" w:rsidRDefault="00AA73D8" w:rsidP="00AA73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AA73D8" w:rsidRPr="00D35A17" w:rsidRDefault="00AA73D8" w:rsidP="00AA73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AA73D8" w:rsidRPr="00D35A17" w:rsidRDefault="00AA73D8" w:rsidP="00AA73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A73D8" w:rsidRPr="00D35A17" w:rsidRDefault="00AA73D8" w:rsidP="00AA73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A73D8" w:rsidRPr="00D35A17" w:rsidRDefault="00AA73D8" w:rsidP="00AA73D8">
      <w:pPr>
        <w:pStyle w:val="affe"/>
        <w:ind w:firstLine="567"/>
        <w:rPr>
          <w:color w:val="auto"/>
          <w:sz w:val="24"/>
          <w:szCs w:val="24"/>
        </w:rPr>
      </w:pPr>
      <w:r w:rsidRPr="00D35A17">
        <w:rPr>
          <w:color w:val="auto"/>
          <w:sz w:val="24"/>
          <w:szCs w:val="24"/>
        </w:rPr>
        <w:t xml:space="preserve">3.2. В </w:t>
      </w:r>
      <w:proofErr w:type="gramStart"/>
      <w:r w:rsidRPr="00D35A17">
        <w:rPr>
          <w:color w:val="auto"/>
          <w:sz w:val="24"/>
          <w:szCs w:val="24"/>
        </w:rPr>
        <w:t>случае</w:t>
      </w:r>
      <w:proofErr w:type="gramEnd"/>
      <w:r w:rsidRPr="00D35A17">
        <w:rPr>
          <w:color w:val="auto"/>
          <w:sz w:val="24"/>
          <w:szCs w:val="24"/>
        </w:rP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A73D8" w:rsidRPr="00D35A17" w:rsidRDefault="00AA73D8" w:rsidP="00AA73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AA73D8" w:rsidRPr="00D35A17" w:rsidRDefault="00AA73D8" w:rsidP="00AA73D8">
      <w:pPr>
        <w:pStyle w:val="affe"/>
        <w:ind w:firstLine="567"/>
        <w:rPr>
          <w:color w:val="auto"/>
          <w:sz w:val="24"/>
          <w:szCs w:val="24"/>
        </w:rPr>
      </w:pPr>
      <w:r w:rsidRPr="00D35A17">
        <w:rPr>
          <w:color w:val="auto"/>
          <w:sz w:val="24"/>
          <w:szCs w:val="24"/>
        </w:rPr>
        <w:t>3.3.1. по количеству:</w:t>
      </w:r>
    </w:p>
    <w:p w:rsidR="00AA73D8" w:rsidRPr="00D35A17" w:rsidRDefault="00AA73D8" w:rsidP="00AA73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AA73D8" w:rsidRPr="00D35A17" w:rsidRDefault="00AA73D8" w:rsidP="00AA73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AA73D8" w:rsidRPr="00D35A17" w:rsidRDefault="00AA73D8" w:rsidP="00AA73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AA73D8" w:rsidRPr="00D35A17" w:rsidRDefault="00AA73D8" w:rsidP="00AA73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AA73D8" w:rsidRPr="00D35A17" w:rsidRDefault="00AA73D8" w:rsidP="00AA73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AA73D8" w:rsidRPr="00D35A17" w:rsidRDefault="00AA73D8" w:rsidP="00AA73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AA73D8" w:rsidRPr="00D35A17" w:rsidRDefault="00AA73D8" w:rsidP="00AA73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A73D8" w:rsidRPr="00D35A17" w:rsidRDefault="00AA73D8" w:rsidP="00AA73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AA73D8" w:rsidRPr="00D35A17" w:rsidRDefault="00AA73D8" w:rsidP="00AA73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AA73D8" w:rsidRPr="00D35A17" w:rsidRDefault="00AA73D8" w:rsidP="00AA73D8">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AA73D8" w:rsidRPr="00D35A17" w:rsidRDefault="00AA73D8" w:rsidP="00AA73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AA73D8" w:rsidRPr="00D35A17" w:rsidRDefault="00AA73D8" w:rsidP="00AA73D8">
      <w:pPr>
        <w:pStyle w:val="affe"/>
        <w:ind w:firstLine="0"/>
        <w:rPr>
          <w:color w:val="auto"/>
          <w:sz w:val="24"/>
          <w:szCs w:val="24"/>
        </w:rPr>
      </w:pPr>
      <w:r w:rsidRPr="00D35A17">
        <w:rPr>
          <w:color w:val="auto"/>
          <w:sz w:val="24"/>
          <w:szCs w:val="24"/>
        </w:rPr>
        <w:t>- телеграммой;</w:t>
      </w:r>
    </w:p>
    <w:p w:rsidR="00AA73D8" w:rsidRPr="00D35A17" w:rsidRDefault="00AA73D8" w:rsidP="00AA73D8">
      <w:pPr>
        <w:pStyle w:val="affe"/>
        <w:ind w:firstLine="0"/>
        <w:rPr>
          <w:color w:val="auto"/>
          <w:sz w:val="24"/>
          <w:szCs w:val="24"/>
        </w:rPr>
      </w:pPr>
      <w:r w:rsidRPr="00D35A17">
        <w:rPr>
          <w:color w:val="auto"/>
          <w:sz w:val="24"/>
          <w:szCs w:val="24"/>
        </w:rPr>
        <w:t>- телефонограммой;</w:t>
      </w:r>
    </w:p>
    <w:p w:rsidR="00AA73D8" w:rsidRPr="00D35A17" w:rsidRDefault="00AA73D8" w:rsidP="00AA73D8">
      <w:pPr>
        <w:pStyle w:val="affe"/>
        <w:ind w:firstLine="0"/>
        <w:rPr>
          <w:color w:val="auto"/>
          <w:sz w:val="24"/>
          <w:szCs w:val="24"/>
        </w:rPr>
      </w:pPr>
      <w:r w:rsidRPr="00D35A17">
        <w:rPr>
          <w:color w:val="auto"/>
          <w:sz w:val="24"/>
          <w:szCs w:val="24"/>
        </w:rPr>
        <w:t>- письменным извещением, переданным по факсу;</w:t>
      </w:r>
    </w:p>
    <w:p w:rsidR="00AA73D8" w:rsidRPr="00D35A17" w:rsidRDefault="00AA73D8" w:rsidP="00AA73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извещении</w:t>
      </w:r>
      <w:proofErr w:type="gramEnd"/>
      <w:r w:rsidRPr="00D35A17">
        <w:rPr>
          <w:color w:val="auto"/>
          <w:sz w:val="24"/>
          <w:szCs w:val="24"/>
        </w:rPr>
        <w:t xml:space="preserve"> о вызове представителя Поставщика должна быть указана следующая информация:</w:t>
      </w:r>
    </w:p>
    <w:p w:rsidR="00AA73D8" w:rsidRPr="00D35A17" w:rsidRDefault="00AA73D8" w:rsidP="00AA73D8">
      <w:pPr>
        <w:pStyle w:val="affe"/>
        <w:ind w:firstLine="0"/>
        <w:rPr>
          <w:color w:val="auto"/>
          <w:sz w:val="24"/>
          <w:szCs w:val="24"/>
        </w:rPr>
      </w:pPr>
      <w:r w:rsidRPr="00D35A17">
        <w:rPr>
          <w:color w:val="auto"/>
          <w:sz w:val="24"/>
          <w:szCs w:val="24"/>
        </w:rPr>
        <w:t xml:space="preserve">а) реквизиты (номер и дата) Договора; </w:t>
      </w:r>
    </w:p>
    <w:p w:rsidR="00AA73D8" w:rsidRPr="00D35A17" w:rsidRDefault="00AA73D8" w:rsidP="00AA73D8">
      <w:pPr>
        <w:pStyle w:val="affe"/>
        <w:ind w:firstLine="0"/>
        <w:rPr>
          <w:color w:val="auto"/>
          <w:sz w:val="24"/>
          <w:szCs w:val="24"/>
        </w:rPr>
      </w:pPr>
      <w:r w:rsidRPr="00D35A17">
        <w:rPr>
          <w:color w:val="auto"/>
          <w:sz w:val="24"/>
          <w:szCs w:val="24"/>
        </w:rPr>
        <w:t xml:space="preserve">б) наименование продукции; </w:t>
      </w:r>
    </w:p>
    <w:p w:rsidR="00AA73D8" w:rsidRPr="00D35A17" w:rsidRDefault="00AA73D8" w:rsidP="00AA73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A73D8" w:rsidRPr="00D35A17" w:rsidRDefault="00AA73D8" w:rsidP="00AA73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AA73D8" w:rsidRPr="00D35A17" w:rsidRDefault="00AA73D8" w:rsidP="00AA73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AA73D8" w:rsidRPr="00D35A17" w:rsidRDefault="00AA73D8" w:rsidP="00AA73D8">
      <w:pPr>
        <w:pStyle w:val="affe"/>
        <w:ind w:firstLine="0"/>
        <w:rPr>
          <w:color w:val="auto"/>
          <w:sz w:val="24"/>
          <w:szCs w:val="24"/>
        </w:rPr>
      </w:pPr>
      <w:r w:rsidRPr="00D35A17">
        <w:rPr>
          <w:color w:val="auto"/>
          <w:sz w:val="24"/>
          <w:szCs w:val="24"/>
        </w:rPr>
        <w:t>е) место, где она будет проводиться.</w:t>
      </w:r>
    </w:p>
    <w:p w:rsidR="00AA73D8" w:rsidRPr="00D35A17" w:rsidRDefault="00AA73D8" w:rsidP="00AA73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A73D8" w:rsidRPr="00D35A17" w:rsidRDefault="00AA73D8" w:rsidP="00AA73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AA73D8" w:rsidRPr="00D35A17" w:rsidRDefault="00AA73D8" w:rsidP="00AA73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A73D8" w:rsidRPr="00D35A17" w:rsidRDefault="00AA73D8" w:rsidP="00AA73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AA73D8" w:rsidRPr="00D35A17" w:rsidRDefault="00AA73D8" w:rsidP="00AA73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AA73D8" w:rsidRPr="00D35A17" w:rsidRDefault="00AA73D8" w:rsidP="00AA73D8">
      <w:pPr>
        <w:pStyle w:val="affe"/>
        <w:ind w:firstLine="0"/>
        <w:rPr>
          <w:color w:val="auto"/>
          <w:sz w:val="24"/>
          <w:szCs w:val="24"/>
        </w:rPr>
      </w:pPr>
      <w:r w:rsidRPr="00D35A17">
        <w:rPr>
          <w:color w:val="auto"/>
          <w:sz w:val="24"/>
          <w:szCs w:val="24"/>
        </w:rPr>
        <w:t>а) наименование Покупателя продукции и его адрес;</w:t>
      </w:r>
    </w:p>
    <w:p w:rsidR="00AA73D8" w:rsidRPr="00D35A17" w:rsidRDefault="00AA73D8" w:rsidP="00AA73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AA73D8" w:rsidRPr="00D35A17" w:rsidRDefault="00AA73D8" w:rsidP="00AA73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AA73D8" w:rsidRPr="00D35A17" w:rsidRDefault="00AA73D8" w:rsidP="00AA73D8">
      <w:pPr>
        <w:pStyle w:val="affe"/>
        <w:ind w:firstLine="0"/>
        <w:rPr>
          <w:color w:val="auto"/>
          <w:sz w:val="24"/>
          <w:szCs w:val="24"/>
        </w:rPr>
      </w:pPr>
      <w:r w:rsidRPr="00D35A17">
        <w:rPr>
          <w:color w:val="auto"/>
          <w:sz w:val="24"/>
          <w:szCs w:val="24"/>
        </w:rPr>
        <w:t>г) наименование и адрес Поставщика;</w:t>
      </w:r>
    </w:p>
    <w:p w:rsidR="00AA73D8" w:rsidRPr="00D35A17" w:rsidRDefault="00AA73D8" w:rsidP="00AA73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AA73D8" w:rsidRPr="00D35A17" w:rsidRDefault="00AA73D8" w:rsidP="00AA73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A73D8" w:rsidRPr="00D35A17" w:rsidRDefault="00AA73D8" w:rsidP="00AA73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A73D8" w:rsidRPr="00D35A17" w:rsidRDefault="00AA73D8" w:rsidP="00AA73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AA73D8" w:rsidRPr="00D35A17" w:rsidRDefault="00AA73D8" w:rsidP="00AA73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AA73D8" w:rsidRPr="00D35A17" w:rsidRDefault="00AA73D8" w:rsidP="00AA73D8">
      <w:pPr>
        <w:pStyle w:val="affe"/>
        <w:ind w:firstLine="0"/>
        <w:rPr>
          <w:color w:val="auto"/>
          <w:sz w:val="24"/>
          <w:szCs w:val="24"/>
        </w:rPr>
      </w:pPr>
      <w:r w:rsidRPr="00D35A17">
        <w:rPr>
          <w:color w:val="auto"/>
          <w:sz w:val="24"/>
          <w:szCs w:val="24"/>
        </w:rPr>
        <w:t>к) подписи членов комиссии;</w:t>
      </w:r>
    </w:p>
    <w:p w:rsidR="00AA73D8" w:rsidRPr="00D35A17" w:rsidRDefault="00AA73D8" w:rsidP="00AA73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AA73D8" w:rsidRPr="00D35A17" w:rsidRDefault="00AA73D8" w:rsidP="00AA73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A73D8" w:rsidRDefault="00AA73D8" w:rsidP="00AA73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AA73D8" w:rsidRPr="00D35A17" w:rsidRDefault="00AA73D8" w:rsidP="00AA73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AA73D8" w:rsidRPr="00D35A17" w:rsidRDefault="00AA73D8" w:rsidP="00AA73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AA73D8" w:rsidRPr="00D35A17" w:rsidRDefault="00AA73D8" w:rsidP="00AA73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A73D8" w:rsidRPr="00D35A17" w:rsidRDefault="00AA73D8" w:rsidP="00AA73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A73D8" w:rsidRPr="00D35A17" w:rsidRDefault="00AA73D8" w:rsidP="00AA73D8">
      <w:pPr>
        <w:pStyle w:val="afff0"/>
        <w:ind w:firstLine="567"/>
      </w:pPr>
      <w:r w:rsidRPr="00D35A17">
        <w:t xml:space="preserve">4.4. В </w:t>
      </w:r>
      <w:proofErr w:type="gramStart"/>
      <w:r w:rsidRPr="00D35A17">
        <w:t>случае</w:t>
      </w:r>
      <w:proofErr w:type="gramEnd"/>
      <w:r w:rsidRPr="00D35A17">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A73D8" w:rsidRPr="00D35A17" w:rsidRDefault="00AA73D8" w:rsidP="00AA73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AA73D8" w:rsidRPr="00D35A17" w:rsidRDefault="00AA73D8" w:rsidP="00AA73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AA73D8" w:rsidRPr="00D35A17" w:rsidRDefault="00AA73D8" w:rsidP="00AA73D8">
      <w:pPr>
        <w:pStyle w:val="affe"/>
        <w:ind w:firstLine="0"/>
        <w:rPr>
          <w:color w:val="auto"/>
          <w:sz w:val="24"/>
          <w:szCs w:val="24"/>
        </w:rPr>
      </w:pPr>
    </w:p>
    <w:p w:rsidR="00AA73D8" w:rsidRPr="00D35A17" w:rsidRDefault="00AA73D8" w:rsidP="00AA73D8">
      <w:pPr>
        <w:pStyle w:val="affc"/>
        <w:jc w:val="both"/>
        <w:rPr>
          <w:i/>
          <w:sz w:val="24"/>
          <w:szCs w:val="24"/>
        </w:rPr>
      </w:pPr>
      <w:r w:rsidRPr="00D35A17">
        <w:rPr>
          <w:i/>
          <w:sz w:val="24"/>
          <w:szCs w:val="24"/>
        </w:rPr>
        <w:t xml:space="preserve">В </w:t>
      </w:r>
      <w:proofErr w:type="gramStart"/>
      <w:r w:rsidRPr="00D35A17">
        <w:rPr>
          <w:i/>
          <w:sz w:val="24"/>
          <w:szCs w:val="24"/>
        </w:rPr>
        <w:t>случае</w:t>
      </w:r>
      <w:proofErr w:type="gramEnd"/>
      <w:r w:rsidRPr="00D35A17">
        <w:rPr>
          <w:i/>
          <w:sz w:val="24"/>
          <w:szCs w:val="24"/>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AA73D8" w:rsidRPr="00D35A17" w:rsidRDefault="00AA73D8" w:rsidP="00AA73D8">
      <w:pPr>
        <w:pStyle w:val="affe"/>
        <w:ind w:firstLine="0"/>
        <w:rPr>
          <w:b/>
          <w:i/>
          <w:color w:val="auto"/>
          <w:sz w:val="24"/>
          <w:szCs w:val="24"/>
        </w:rPr>
      </w:pPr>
    </w:p>
    <w:p w:rsidR="00AA73D8" w:rsidRPr="00D35A17" w:rsidRDefault="00AA73D8" w:rsidP="00AA73D8">
      <w:pPr>
        <w:pStyle w:val="afffa"/>
        <w:ind w:left="0"/>
        <w:jc w:val="both"/>
        <w:rPr>
          <w:b/>
          <w:i/>
        </w:rPr>
      </w:pPr>
      <w:r w:rsidRPr="00D35A17">
        <w:rPr>
          <w:b/>
          <w:i/>
        </w:rPr>
        <w:t xml:space="preserve">1. В </w:t>
      </w:r>
      <w:proofErr w:type="gramStart"/>
      <w:r w:rsidRPr="00D35A17">
        <w:rPr>
          <w:b/>
          <w:i/>
        </w:rPr>
        <w:t>качестве</w:t>
      </w:r>
      <w:proofErr w:type="gramEnd"/>
      <w:r w:rsidRPr="00D35A17">
        <w:rPr>
          <w:b/>
          <w:i/>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AA73D8" w:rsidRPr="00D35A17" w:rsidRDefault="00AA73D8" w:rsidP="00AA73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AA73D8" w:rsidRPr="00D35A17" w:rsidRDefault="00AA73D8" w:rsidP="00AA73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AA73D8" w:rsidRPr="00D35A17" w:rsidRDefault="00AA73D8" w:rsidP="00AA73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AA73D8" w:rsidRPr="00D35A17" w:rsidRDefault="00AA73D8" w:rsidP="00AA73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D35A17">
        <w:rPr>
          <w:b/>
          <w:i/>
        </w:rPr>
        <w:t>случае</w:t>
      </w:r>
      <w:proofErr w:type="gramEnd"/>
      <w:r w:rsidRPr="00D35A17">
        <w:rPr>
          <w:b/>
          <w:i/>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AA73D8" w:rsidRPr="00D35A17" w:rsidRDefault="00AA73D8" w:rsidP="00AA73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AA73D8" w:rsidRPr="00D35A17" w:rsidRDefault="00AA73D8" w:rsidP="00AA73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A73D8" w:rsidRPr="00D35A17" w:rsidRDefault="00AA73D8" w:rsidP="00AA73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A73D8" w:rsidRPr="00D35A17" w:rsidRDefault="00AA73D8" w:rsidP="00AA73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AA73D8" w:rsidRPr="00D35A17" w:rsidRDefault="00AA73D8" w:rsidP="00AA73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AA73D8" w:rsidRPr="00D35A17" w:rsidRDefault="00AA73D8" w:rsidP="00AA73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AA73D8" w:rsidRPr="00D35A17" w:rsidRDefault="00AA73D8" w:rsidP="00AA73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AA73D8" w:rsidRPr="00D35A17" w:rsidRDefault="00AA73D8" w:rsidP="00AA73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AA73D8" w:rsidRPr="00D35A17" w:rsidRDefault="00AA73D8" w:rsidP="00AA73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A73D8" w:rsidRPr="00D35A17" w:rsidRDefault="00AA73D8" w:rsidP="00AA73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A73D8" w:rsidRPr="00D35A17" w:rsidRDefault="00AA73D8" w:rsidP="00AA73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AA73D8" w:rsidRPr="00D35A17" w:rsidRDefault="00AA73D8" w:rsidP="00AA73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AA73D8" w:rsidRPr="00D35A17" w:rsidRDefault="00AA73D8" w:rsidP="00AA73D8">
      <w:pPr>
        <w:pStyle w:val="afffa"/>
        <w:ind w:left="0"/>
        <w:jc w:val="both"/>
        <w:rPr>
          <w:b/>
          <w:i/>
        </w:rPr>
      </w:pPr>
    </w:p>
    <w:p w:rsidR="00AA73D8" w:rsidRPr="00D35A17" w:rsidRDefault="00AA73D8" w:rsidP="00AA73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A73D8" w:rsidRPr="00D35A17" w:rsidRDefault="00AA73D8" w:rsidP="00AA73D8">
      <w:pPr>
        <w:pStyle w:val="afffa"/>
        <w:ind w:left="0"/>
        <w:jc w:val="both"/>
        <w:rPr>
          <w:b/>
          <w:i/>
        </w:rPr>
      </w:pPr>
    </w:p>
    <w:p w:rsidR="00AA73D8" w:rsidRPr="00D35A17" w:rsidRDefault="00AA73D8" w:rsidP="00AA73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AA73D8" w:rsidRPr="00D35A17" w:rsidRDefault="00AA73D8" w:rsidP="00AA73D8">
      <w:pPr>
        <w:pStyle w:val="affc"/>
        <w:jc w:val="both"/>
        <w:rPr>
          <w:i/>
          <w:sz w:val="24"/>
          <w:szCs w:val="24"/>
        </w:rPr>
      </w:pPr>
    </w:p>
    <w:p w:rsidR="00AA73D8" w:rsidRPr="00D35A17" w:rsidRDefault="00AA73D8" w:rsidP="00AA73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AA73D8" w:rsidRPr="00D35A17" w:rsidRDefault="00AA73D8" w:rsidP="00AA73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AA73D8" w:rsidRPr="00D35A17" w:rsidRDefault="00AA73D8" w:rsidP="00AA73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AA73D8" w:rsidRPr="00D35A17" w:rsidRDefault="00AA73D8" w:rsidP="00AA73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AA73D8" w:rsidRPr="00D35A17" w:rsidRDefault="00AA73D8" w:rsidP="00AA73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 xml:space="preserve">дней. </w:t>
      </w:r>
      <w:proofErr w:type="gramStart"/>
      <w:r w:rsidRPr="00D35A17">
        <w:rPr>
          <w:b/>
          <w:i/>
        </w:rPr>
        <w:t>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D35A17">
        <w:rPr>
          <w:b/>
          <w:i/>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AA73D8" w:rsidRPr="00D35A17" w:rsidRDefault="00AA73D8" w:rsidP="00AA73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AA73D8" w:rsidRPr="00D35A17" w:rsidRDefault="00AA73D8" w:rsidP="00AA73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AA73D8" w:rsidRPr="00D35A17" w:rsidRDefault="00AA73D8" w:rsidP="00AA73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A73D8" w:rsidRPr="00D35A17" w:rsidRDefault="00AA73D8" w:rsidP="00AA73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AA73D8" w:rsidRPr="00D35A17" w:rsidRDefault="00AA73D8" w:rsidP="00AA73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AA73D8" w:rsidRPr="00D35A17" w:rsidRDefault="00AA73D8" w:rsidP="00AA73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AA73D8" w:rsidRPr="00D35A17" w:rsidRDefault="00AA73D8" w:rsidP="00AA73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AA73D8" w:rsidRPr="00D35A17" w:rsidRDefault="00AA73D8" w:rsidP="00AA73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AA73D8" w:rsidRPr="00D35A17" w:rsidRDefault="00AA73D8" w:rsidP="00AA73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AA73D8" w:rsidRDefault="00AA73D8" w:rsidP="00AA73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AA73D8" w:rsidRPr="00D35A17" w:rsidRDefault="00AA73D8" w:rsidP="00AA73D8">
      <w:pPr>
        <w:pStyle w:val="afffa"/>
        <w:ind w:left="0"/>
        <w:jc w:val="both"/>
        <w:rPr>
          <w:b/>
          <w:i/>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AA73D8" w:rsidRPr="00D35A17" w:rsidRDefault="00AA73D8" w:rsidP="00AA73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AA73D8" w:rsidRPr="00D35A17" w:rsidRDefault="00AA73D8" w:rsidP="00AA73D8">
      <w:pPr>
        <w:pStyle w:val="affe"/>
        <w:ind w:firstLine="567"/>
        <w:rPr>
          <w:color w:val="auto"/>
          <w:sz w:val="24"/>
          <w:szCs w:val="24"/>
        </w:rPr>
      </w:pPr>
      <w:r w:rsidRPr="00D35A17">
        <w:rPr>
          <w:color w:val="auto"/>
          <w:sz w:val="24"/>
          <w:szCs w:val="24"/>
        </w:rPr>
        <w:t xml:space="preserve">5.2. В </w:t>
      </w:r>
      <w:proofErr w:type="gramStart"/>
      <w:r w:rsidRPr="00D35A17">
        <w:rPr>
          <w:color w:val="auto"/>
          <w:sz w:val="24"/>
          <w:szCs w:val="24"/>
        </w:rPr>
        <w:t>случае</w:t>
      </w:r>
      <w:proofErr w:type="gramEnd"/>
      <w:r w:rsidRPr="00D35A17">
        <w:rPr>
          <w:color w:val="auto"/>
          <w:sz w:val="24"/>
          <w:szCs w:val="24"/>
        </w:rP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rsidRPr="00D35A17">
        <w:rPr>
          <w:color w:val="auto"/>
          <w:sz w:val="24"/>
          <w:szCs w:val="24"/>
        </w:rPr>
        <w:t>уведомлении</w:t>
      </w:r>
      <w:proofErr w:type="gramEnd"/>
      <w:r w:rsidRPr="00D35A17">
        <w:rPr>
          <w:color w:val="auto"/>
          <w:sz w:val="24"/>
          <w:szCs w:val="24"/>
        </w:rPr>
        <w:t>,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AA73D8" w:rsidRPr="00D35A17" w:rsidRDefault="00AA73D8" w:rsidP="00AA73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A73D8" w:rsidRPr="00D35A17" w:rsidRDefault="00AA73D8" w:rsidP="00AA73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AA73D8" w:rsidRPr="00D35A17" w:rsidRDefault="00AA73D8" w:rsidP="00AA73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AA73D8" w:rsidRDefault="00AA73D8" w:rsidP="00AA73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AA73D8" w:rsidRPr="00D35A17" w:rsidRDefault="00AA73D8" w:rsidP="00AA73D8">
      <w:pPr>
        <w:pStyle w:val="affe"/>
        <w:ind w:firstLine="0"/>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AA73D8" w:rsidRPr="00D35A17" w:rsidRDefault="00AA73D8" w:rsidP="00AA73D8">
      <w:pPr>
        <w:pStyle w:val="affe"/>
        <w:ind w:firstLine="567"/>
        <w:rPr>
          <w:color w:val="auto"/>
          <w:sz w:val="24"/>
          <w:szCs w:val="24"/>
        </w:rPr>
      </w:pPr>
      <w:r w:rsidRPr="00D35A17">
        <w:rPr>
          <w:color w:val="auto"/>
          <w:sz w:val="24"/>
          <w:szCs w:val="24"/>
        </w:rPr>
        <w:t xml:space="preserve">6.1. В </w:t>
      </w:r>
      <w:proofErr w:type="gramStart"/>
      <w:r w:rsidRPr="00D35A17">
        <w:rPr>
          <w:color w:val="auto"/>
          <w:sz w:val="24"/>
          <w:szCs w:val="24"/>
        </w:rPr>
        <w:t>случае</w:t>
      </w:r>
      <w:proofErr w:type="gramEnd"/>
      <w:r w:rsidRPr="00D35A17">
        <w:rPr>
          <w:color w:val="auto"/>
          <w:sz w:val="24"/>
          <w:szCs w:val="24"/>
        </w:rPr>
        <w:t xml:space="preserve"> поставки продукции ненадлежащего качества, Покупатель вправе по своему выбору потребовать от Поставщика: </w:t>
      </w:r>
    </w:p>
    <w:p w:rsidR="00AA73D8" w:rsidRPr="00D35A17" w:rsidRDefault="00AA73D8" w:rsidP="00AA73D8">
      <w:pPr>
        <w:pStyle w:val="affe"/>
        <w:ind w:firstLine="0"/>
        <w:rPr>
          <w:color w:val="auto"/>
          <w:sz w:val="24"/>
          <w:szCs w:val="24"/>
        </w:rPr>
      </w:pPr>
      <w:r w:rsidRPr="00D35A17">
        <w:rPr>
          <w:color w:val="auto"/>
          <w:sz w:val="24"/>
          <w:szCs w:val="24"/>
        </w:rPr>
        <w:t xml:space="preserve">- соразмерного уменьшения покупной цены; </w:t>
      </w:r>
    </w:p>
    <w:p w:rsidR="00AA73D8" w:rsidRPr="00D35A17" w:rsidRDefault="00AA73D8" w:rsidP="00AA73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A73D8" w:rsidRPr="00D35A17" w:rsidRDefault="00AA73D8" w:rsidP="00AA73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AA73D8" w:rsidRPr="00D35A17" w:rsidRDefault="00AA73D8" w:rsidP="00AA73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AA73D8" w:rsidRPr="00D35A17" w:rsidRDefault="00AA73D8" w:rsidP="00AA73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A73D8" w:rsidRPr="00D35A17" w:rsidRDefault="00AA73D8" w:rsidP="00AA73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AA73D8" w:rsidRPr="00D35A17" w:rsidRDefault="00AA73D8" w:rsidP="00AA73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AA73D8" w:rsidRPr="00D35A17" w:rsidRDefault="00AA73D8" w:rsidP="00AA73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AA73D8" w:rsidRPr="00D35A17" w:rsidRDefault="00AA73D8" w:rsidP="00AA73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AA73D8" w:rsidRPr="00D35A17" w:rsidRDefault="00AA73D8" w:rsidP="00AA73D8">
      <w:pPr>
        <w:pStyle w:val="affe"/>
        <w:ind w:firstLine="0"/>
        <w:rPr>
          <w:color w:val="auto"/>
          <w:sz w:val="24"/>
          <w:szCs w:val="24"/>
        </w:rPr>
      </w:pPr>
    </w:p>
    <w:p w:rsidR="00AA73D8" w:rsidRPr="00D35A17" w:rsidRDefault="00AA73D8" w:rsidP="00AA73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AA73D8" w:rsidRPr="00D35A17" w:rsidRDefault="00AA73D8" w:rsidP="00AA73D8">
      <w:pPr>
        <w:pStyle w:val="affe"/>
        <w:ind w:firstLine="0"/>
        <w:rPr>
          <w:b/>
          <w:i/>
          <w:color w:val="auto"/>
          <w:sz w:val="24"/>
          <w:szCs w:val="24"/>
        </w:rPr>
      </w:pPr>
    </w:p>
    <w:p w:rsidR="00AA73D8" w:rsidRPr="00D35A17" w:rsidRDefault="00AA73D8" w:rsidP="00AA73D8">
      <w:pPr>
        <w:pStyle w:val="affe"/>
        <w:ind w:firstLine="0"/>
        <w:rPr>
          <w:b/>
          <w:i/>
          <w:color w:val="auto"/>
          <w:sz w:val="24"/>
          <w:szCs w:val="24"/>
        </w:rPr>
      </w:pPr>
      <w:r w:rsidRPr="00D35A17">
        <w:rPr>
          <w:b/>
          <w:i/>
          <w:color w:val="auto"/>
          <w:sz w:val="24"/>
          <w:szCs w:val="24"/>
        </w:rPr>
        <w:t xml:space="preserve">6.6. В </w:t>
      </w:r>
      <w:proofErr w:type="gramStart"/>
      <w:r w:rsidRPr="00D35A17">
        <w:rPr>
          <w:b/>
          <w:i/>
          <w:color w:val="auto"/>
          <w:sz w:val="24"/>
          <w:szCs w:val="24"/>
        </w:rPr>
        <w:t>случае</w:t>
      </w:r>
      <w:proofErr w:type="gramEnd"/>
      <w:r w:rsidRPr="00D35A17">
        <w:rPr>
          <w:b/>
          <w:i/>
          <w:color w:val="auto"/>
          <w:sz w:val="24"/>
          <w:szCs w:val="24"/>
        </w:rPr>
        <w:t xml:space="preserve">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AA73D8" w:rsidRDefault="00AA73D8" w:rsidP="00AA73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AA73D8" w:rsidRPr="00D35A17" w:rsidRDefault="00AA73D8" w:rsidP="00AA73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A73D8" w:rsidRPr="00D35A17" w:rsidRDefault="00AA73D8" w:rsidP="00AA73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A73D8" w:rsidRPr="00D35A17" w:rsidRDefault="00AA73D8" w:rsidP="00AA73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A73D8" w:rsidRPr="00D35A17" w:rsidRDefault="00AA73D8" w:rsidP="00AA73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A73D8" w:rsidRPr="00D35A17" w:rsidRDefault="00AA73D8" w:rsidP="00AA73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A73D8" w:rsidRDefault="00AA73D8" w:rsidP="00AA73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A73D8" w:rsidRPr="00D35A17" w:rsidRDefault="00AA73D8" w:rsidP="00AA73D8">
      <w:pPr>
        <w:pStyle w:val="affe"/>
        <w:ind w:firstLine="567"/>
        <w:rPr>
          <w:color w:val="auto"/>
          <w:sz w:val="24"/>
          <w:szCs w:val="24"/>
        </w:rPr>
      </w:pPr>
    </w:p>
    <w:p w:rsidR="00AA73D8" w:rsidRPr="00D35A17" w:rsidRDefault="00AA73D8" w:rsidP="00AA73D8">
      <w:pPr>
        <w:pStyle w:val="affc"/>
        <w:spacing w:before="120" w:after="120"/>
        <w:rPr>
          <w:sz w:val="24"/>
          <w:szCs w:val="24"/>
        </w:rPr>
      </w:pPr>
      <w:r w:rsidRPr="00D35A17">
        <w:rPr>
          <w:sz w:val="24"/>
          <w:szCs w:val="24"/>
        </w:rPr>
        <w:t>9. Обстоятельства непреодолимой силы (форс-мажор)</w:t>
      </w:r>
    </w:p>
    <w:p w:rsidR="00AA73D8" w:rsidRPr="00D35A17" w:rsidRDefault="00AA73D8" w:rsidP="00AA73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A73D8" w:rsidRPr="00D35A17" w:rsidRDefault="00AA73D8" w:rsidP="00AA73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A73D8" w:rsidRPr="00D35A17" w:rsidRDefault="00AA73D8" w:rsidP="00AA73D8">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A73D8" w:rsidRPr="00D35A17" w:rsidRDefault="00AA73D8" w:rsidP="00AA73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AA73D8" w:rsidRPr="00D35A17" w:rsidRDefault="00AA73D8" w:rsidP="00AA73D8">
      <w:pPr>
        <w:pStyle w:val="affc"/>
        <w:spacing w:before="120" w:after="120"/>
        <w:rPr>
          <w:sz w:val="24"/>
          <w:szCs w:val="24"/>
        </w:rPr>
      </w:pPr>
      <w:r w:rsidRPr="00D35A17">
        <w:rPr>
          <w:sz w:val="24"/>
          <w:szCs w:val="24"/>
        </w:rPr>
        <w:t>10. Прочие условия</w:t>
      </w:r>
    </w:p>
    <w:p w:rsidR="00AA73D8" w:rsidRPr="00D35A17" w:rsidRDefault="00AA73D8" w:rsidP="00AA73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AA73D8" w:rsidRPr="00D35A17" w:rsidRDefault="00AA73D8" w:rsidP="00AA73D8">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A73D8" w:rsidRPr="00D35A17" w:rsidRDefault="00AA73D8" w:rsidP="00AA73D8">
      <w:pPr>
        <w:pStyle w:val="affe"/>
        <w:ind w:firstLine="0"/>
        <w:rPr>
          <w:color w:val="auto"/>
          <w:sz w:val="24"/>
          <w:szCs w:val="24"/>
        </w:rPr>
      </w:pPr>
      <w:r w:rsidRPr="00D35A17">
        <w:rPr>
          <w:color w:val="auto"/>
          <w:sz w:val="24"/>
          <w:szCs w:val="24"/>
        </w:rPr>
        <w:t>- копию устава;</w:t>
      </w:r>
    </w:p>
    <w:p w:rsidR="00AA73D8" w:rsidRPr="00D35A17" w:rsidRDefault="00AA73D8" w:rsidP="00AA73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A73D8" w:rsidRPr="00D35A17" w:rsidRDefault="00AA73D8" w:rsidP="00AA73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AA73D8" w:rsidRPr="00D35A17" w:rsidRDefault="00AA73D8" w:rsidP="00AA73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A73D8" w:rsidRPr="00D35A17" w:rsidRDefault="00AA73D8" w:rsidP="00AA73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A73D8" w:rsidRPr="00D35A17" w:rsidRDefault="00AA73D8" w:rsidP="00AA73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AA73D8" w:rsidRPr="00D35A17" w:rsidRDefault="00AA73D8" w:rsidP="00AA73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AA73D8" w:rsidRPr="00D35A17" w:rsidRDefault="00AA73D8" w:rsidP="00AA73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A73D8" w:rsidRPr="00D35A17" w:rsidRDefault="00AA73D8" w:rsidP="00AA73D8">
      <w:pPr>
        <w:pStyle w:val="affe"/>
        <w:ind w:firstLine="567"/>
        <w:rPr>
          <w:color w:val="auto"/>
          <w:sz w:val="24"/>
          <w:szCs w:val="24"/>
        </w:rPr>
      </w:pPr>
      <w:r w:rsidRPr="00D35A17">
        <w:rPr>
          <w:color w:val="auto"/>
          <w:sz w:val="24"/>
          <w:szCs w:val="24"/>
        </w:rPr>
        <w:t xml:space="preserve">10.3. В </w:t>
      </w:r>
      <w:proofErr w:type="gramStart"/>
      <w:r w:rsidRPr="00D35A17">
        <w:rPr>
          <w:color w:val="auto"/>
          <w:sz w:val="24"/>
          <w:szCs w:val="24"/>
        </w:rPr>
        <w:t>случае</w:t>
      </w:r>
      <w:proofErr w:type="gramEnd"/>
      <w:r w:rsidRPr="00D35A17">
        <w:rPr>
          <w:color w:val="auto"/>
          <w:sz w:val="24"/>
          <w:szCs w:val="24"/>
        </w:rP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AA73D8" w:rsidRPr="00D35A17" w:rsidRDefault="00AA73D8" w:rsidP="00AA73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AA73D8" w:rsidRPr="00D35A17" w:rsidRDefault="00AA73D8" w:rsidP="00AA73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AA73D8" w:rsidRPr="00D35A17" w:rsidRDefault="00AA73D8" w:rsidP="00AA73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A73D8" w:rsidRPr="00D35A17" w:rsidRDefault="00AA73D8" w:rsidP="00AA73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AA73D8" w:rsidRPr="00D35A17" w:rsidRDefault="00AA73D8" w:rsidP="00AA73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A73D8" w:rsidRPr="00D35A17" w:rsidRDefault="00AA73D8" w:rsidP="00AA73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AA73D8" w:rsidRPr="00D35A17" w:rsidRDefault="00AA73D8" w:rsidP="00AA73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AA73D8" w:rsidRPr="00D35A17" w:rsidRDefault="00AA73D8" w:rsidP="00AA73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A73D8" w:rsidRPr="00D35A17" w:rsidRDefault="00AA73D8" w:rsidP="00AA73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AA73D8" w:rsidRDefault="00AA73D8" w:rsidP="00AA73D8">
      <w:pPr>
        <w:pStyle w:val="affe"/>
        <w:ind w:firstLine="0"/>
        <w:rPr>
          <w:color w:val="auto"/>
          <w:sz w:val="24"/>
          <w:szCs w:val="24"/>
        </w:rPr>
      </w:pPr>
      <w:r w:rsidRPr="00D35A17">
        <w:rPr>
          <w:color w:val="auto"/>
          <w:sz w:val="24"/>
          <w:szCs w:val="24"/>
        </w:rPr>
        <w:t>- Приложение № 1. Спецификация № 1.</w:t>
      </w:r>
    </w:p>
    <w:p w:rsidR="00AA73D8" w:rsidRPr="00D35A17" w:rsidRDefault="00AA73D8" w:rsidP="00AA73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AA73D8" w:rsidRPr="00D35A17" w:rsidTr="002D140C">
        <w:tc>
          <w:tcPr>
            <w:tcW w:w="4784" w:type="dxa"/>
          </w:tcPr>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Поставщик</w:t>
            </w: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______________/                       /</w:t>
            </w:r>
          </w:p>
          <w:p w:rsidR="00AA73D8" w:rsidRPr="00D35A17" w:rsidRDefault="00AA73D8" w:rsidP="002D140C">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Покупатель</w:t>
            </w:r>
          </w:p>
          <w:p w:rsidR="00AA73D8" w:rsidRPr="00D35A17" w:rsidRDefault="00AA73D8" w:rsidP="002D140C">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ОГРН 1058602056985</w:t>
            </w: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ИНН 8602067092</w:t>
            </w:r>
          </w:p>
          <w:p w:rsidR="00AA73D8" w:rsidRDefault="00AA73D8" w:rsidP="002D140C">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AA73D8" w:rsidRPr="00D35A17" w:rsidRDefault="00AA73D8" w:rsidP="002D140C">
            <w:pPr>
              <w:tabs>
                <w:tab w:val="left" w:pos="9720"/>
              </w:tabs>
              <w:spacing w:line="240" w:lineRule="auto"/>
              <w:ind w:firstLine="0"/>
              <w:rPr>
                <w:snapToGrid/>
                <w:sz w:val="24"/>
                <w:szCs w:val="24"/>
              </w:rPr>
            </w:pPr>
          </w:p>
          <w:p w:rsidR="00AA73D8" w:rsidRPr="00D35A17" w:rsidRDefault="00AA73D8" w:rsidP="002D140C">
            <w:pPr>
              <w:tabs>
                <w:tab w:val="left" w:pos="9720"/>
              </w:tabs>
              <w:spacing w:line="240" w:lineRule="auto"/>
              <w:ind w:firstLine="0"/>
              <w:rPr>
                <w:snapToGrid/>
                <w:sz w:val="24"/>
                <w:szCs w:val="24"/>
              </w:rPr>
            </w:pPr>
            <w:r w:rsidRPr="00D35A17">
              <w:rPr>
                <w:snapToGrid/>
                <w:sz w:val="24"/>
                <w:szCs w:val="24"/>
              </w:rPr>
              <w:t>______________ /                     /</w:t>
            </w:r>
          </w:p>
          <w:p w:rsidR="00AA73D8" w:rsidRPr="00D35A17" w:rsidRDefault="00AA73D8" w:rsidP="002D140C">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AA73D8" w:rsidRPr="00CC6391" w:rsidRDefault="00AA73D8" w:rsidP="00AA73D8">
      <w:pPr>
        <w:spacing w:line="240" w:lineRule="auto"/>
        <w:ind w:left="993" w:hanging="993"/>
        <w:rPr>
          <w:sz w:val="24"/>
          <w:szCs w:val="24"/>
        </w:rPr>
      </w:pPr>
    </w:p>
    <w:p w:rsidR="00C95B7C" w:rsidRDefault="00C95B7C" w:rsidP="0091399B">
      <w:pPr>
        <w:pStyle w:val="a5"/>
        <w:numPr>
          <w:ilvl w:val="0"/>
          <w:numId w:val="0"/>
        </w:numPr>
        <w:spacing w:line="276" w:lineRule="auto"/>
        <w:ind w:left="54"/>
        <w:rPr>
          <w:b/>
          <w:sz w:val="24"/>
          <w:szCs w:val="24"/>
        </w:rPr>
      </w:pPr>
      <w:r>
        <w:rPr>
          <w:b/>
          <w:sz w:val="24"/>
          <w:szCs w:val="24"/>
        </w:rPr>
        <w:lastRenderedPageBreak/>
        <w:t xml:space="preserve">                                                             </w:t>
      </w:r>
    </w:p>
    <w:p w:rsidR="00C95B7C" w:rsidRDefault="00C95B7C" w:rsidP="0091399B">
      <w:pPr>
        <w:pStyle w:val="a5"/>
        <w:numPr>
          <w:ilvl w:val="0"/>
          <w:numId w:val="0"/>
        </w:numPr>
        <w:spacing w:line="276" w:lineRule="auto"/>
        <w:ind w:left="54"/>
        <w:rPr>
          <w:b/>
          <w:sz w:val="24"/>
          <w:szCs w:val="24"/>
        </w:rPr>
      </w:pPr>
      <w:r>
        <w:rPr>
          <w:b/>
          <w:sz w:val="24"/>
          <w:szCs w:val="24"/>
        </w:rPr>
        <w:t xml:space="preserve">                                               6.Техническая часть</w:t>
      </w:r>
    </w:p>
    <w:p w:rsidR="00540A7E" w:rsidRDefault="00540A7E" w:rsidP="0091399B">
      <w:pPr>
        <w:pStyle w:val="a5"/>
        <w:numPr>
          <w:ilvl w:val="0"/>
          <w:numId w:val="0"/>
        </w:numPr>
        <w:spacing w:line="276" w:lineRule="auto"/>
        <w:ind w:left="54"/>
        <w:rPr>
          <w:b/>
          <w:sz w:val="24"/>
          <w:szCs w:val="24"/>
        </w:rPr>
      </w:pPr>
    </w:p>
    <w:p w:rsidR="001C1D96" w:rsidRDefault="003D44BE" w:rsidP="00833196">
      <w:pPr>
        <w:pStyle w:val="a5"/>
        <w:numPr>
          <w:ilvl w:val="0"/>
          <w:numId w:val="0"/>
        </w:numPr>
        <w:spacing w:line="276" w:lineRule="auto"/>
        <w:ind w:left="54"/>
        <w:jc w:val="center"/>
        <w:rPr>
          <w:b/>
          <w:color w:val="000000"/>
          <w:sz w:val="24"/>
          <w:szCs w:val="24"/>
        </w:rPr>
      </w:pPr>
      <w:r w:rsidRPr="00B520BB">
        <w:rPr>
          <w:b/>
          <w:sz w:val="24"/>
          <w:szCs w:val="24"/>
        </w:rPr>
        <w:t>Технические требования на</w:t>
      </w:r>
      <w:r w:rsidR="00B520BB">
        <w:rPr>
          <w:b/>
          <w:sz w:val="24"/>
          <w:szCs w:val="24"/>
        </w:rPr>
        <w:t xml:space="preserve"> </w:t>
      </w:r>
      <w:r w:rsidRPr="00B520BB">
        <w:rPr>
          <w:b/>
          <w:sz w:val="24"/>
          <w:szCs w:val="24"/>
        </w:rPr>
        <w:t xml:space="preserve"> </w:t>
      </w:r>
      <w:r w:rsidR="00F2447A" w:rsidRPr="00F2447A">
        <w:rPr>
          <w:b/>
          <w:color w:val="000000"/>
          <w:sz w:val="24"/>
          <w:szCs w:val="24"/>
        </w:rPr>
        <w:t xml:space="preserve">поставку  </w:t>
      </w:r>
      <w:r w:rsidR="002F51B0">
        <w:rPr>
          <w:b/>
          <w:color w:val="000000"/>
          <w:sz w:val="24"/>
          <w:szCs w:val="24"/>
        </w:rPr>
        <w:t xml:space="preserve">ТМЦ для утепления </w:t>
      </w:r>
      <w:proofErr w:type="spellStart"/>
      <w:r w:rsidR="002F51B0">
        <w:rPr>
          <w:b/>
          <w:color w:val="000000"/>
          <w:sz w:val="24"/>
          <w:szCs w:val="24"/>
        </w:rPr>
        <w:t>багерного</w:t>
      </w:r>
      <w:proofErr w:type="spellEnd"/>
      <w:r w:rsidR="002F51B0">
        <w:rPr>
          <w:b/>
          <w:color w:val="000000"/>
          <w:sz w:val="24"/>
          <w:szCs w:val="24"/>
        </w:rPr>
        <w:t xml:space="preserve"> приямка</w:t>
      </w:r>
      <w:r w:rsidR="00F2447A" w:rsidRPr="00F2447A">
        <w:rPr>
          <w:b/>
          <w:color w:val="000000"/>
          <w:sz w:val="24"/>
          <w:szCs w:val="24"/>
        </w:rPr>
        <w:t xml:space="preserve"> в рамках договора оказания услуг по организации и управлению ремонтно-восстановительными работами на энергоблоке № 3 филиала «</w:t>
      </w:r>
      <w:proofErr w:type="spellStart"/>
      <w:r w:rsidR="00F2447A" w:rsidRPr="00F2447A">
        <w:rPr>
          <w:b/>
          <w:color w:val="000000"/>
          <w:sz w:val="24"/>
          <w:szCs w:val="24"/>
        </w:rPr>
        <w:t>Берёзовская</w:t>
      </w:r>
      <w:proofErr w:type="spellEnd"/>
      <w:r w:rsidR="00F2447A" w:rsidRPr="00F2447A">
        <w:rPr>
          <w:b/>
          <w:color w:val="000000"/>
          <w:sz w:val="24"/>
          <w:szCs w:val="24"/>
        </w:rPr>
        <w:t>» ГРЭС ПАО «</w:t>
      </w:r>
      <w:proofErr w:type="spellStart"/>
      <w:r w:rsidR="00F2447A" w:rsidRPr="00F2447A">
        <w:rPr>
          <w:b/>
          <w:color w:val="000000"/>
          <w:sz w:val="24"/>
          <w:szCs w:val="24"/>
        </w:rPr>
        <w:t>Юнипро</w:t>
      </w:r>
      <w:proofErr w:type="spellEnd"/>
      <w:r w:rsidR="00F2447A" w:rsidRPr="00F2447A">
        <w:rPr>
          <w:b/>
          <w:color w:val="000000"/>
          <w:sz w:val="24"/>
          <w:szCs w:val="24"/>
        </w:rPr>
        <w:t>»</w:t>
      </w:r>
    </w:p>
    <w:p w:rsidR="00F2447A" w:rsidRPr="00F2447A" w:rsidRDefault="00F2447A" w:rsidP="00833196">
      <w:pPr>
        <w:pStyle w:val="a5"/>
        <w:numPr>
          <w:ilvl w:val="0"/>
          <w:numId w:val="0"/>
        </w:numPr>
        <w:spacing w:line="276" w:lineRule="auto"/>
        <w:ind w:left="54"/>
        <w:jc w:val="center"/>
        <w:rPr>
          <w:b/>
          <w:sz w:val="24"/>
          <w:szCs w:val="24"/>
        </w:rPr>
      </w:pPr>
    </w:p>
    <w:p w:rsidR="00CF6EAE" w:rsidRPr="00833196" w:rsidRDefault="00412988" w:rsidP="00CF6EAE">
      <w:pPr>
        <w:pStyle w:val="a5"/>
        <w:numPr>
          <w:ilvl w:val="0"/>
          <w:numId w:val="0"/>
        </w:numPr>
        <w:spacing w:line="276" w:lineRule="auto"/>
        <w:ind w:left="54"/>
        <w:rPr>
          <w:sz w:val="24"/>
          <w:szCs w:val="24"/>
        </w:rPr>
      </w:pPr>
      <w:r w:rsidRPr="00B520BB">
        <w:rPr>
          <w:b/>
          <w:sz w:val="24"/>
          <w:szCs w:val="24"/>
        </w:rPr>
        <w:t>Предмет закупки</w:t>
      </w:r>
      <w:r w:rsidR="003D44BE" w:rsidRPr="00B520BB">
        <w:rPr>
          <w:b/>
          <w:sz w:val="24"/>
          <w:szCs w:val="24"/>
        </w:rPr>
        <w:t>:</w:t>
      </w:r>
      <w:r w:rsidR="00CD6598" w:rsidRPr="00B520BB">
        <w:rPr>
          <w:b/>
          <w:sz w:val="24"/>
          <w:szCs w:val="24"/>
        </w:rPr>
        <w:t xml:space="preserve"> </w:t>
      </w:r>
      <w:r w:rsidR="00833196" w:rsidRPr="00833196">
        <w:rPr>
          <w:sz w:val="24"/>
          <w:szCs w:val="24"/>
        </w:rPr>
        <w:t>п</w:t>
      </w:r>
      <w:r w:rsidR="00833196" w:rsidRPr="00833196">
        <w:rPr>
          <w:color w:val="000000"/>
          <w:sz w:val="24"/>
          <w:szCs w:val="24"/>
        </w:rPr>
        <w:t xml:space="preserve">оставка  </w:t>
      </w:r>
      <w:r w:rsidR="002F51B0">
        <w:rPr>
          <w:color w:val="000000"/>
          <w:sz w:val="24"/>
          <w:szCs w:val="24"/>
        </w:rPr>
        <w:t xml:space="preserve">ТМЦ для утепления </w:t>
      </w:r>
      <w:proofErr w:type="spellStart"/>
      <w:r w:rsidR="002F51B0">
        <w:rPr>
          <w:color w:val="000000"/>
          <w:sz w:val="24"/>
          <w:szCs w:val="24"/>
        </w:rPr>
        <w:t>багерного</w:t>
      </w:r>
      <w:proofErr w:type="spellEnd"/>
      <w:r w:rsidR="002F51B0">
        <w:rPr>
          <w:color w:val="000000"/>
          <w:sz w:val="24"/>
          <w:szCs w:val="24"/>
        </w:rPr>
        <w:t xml:space="preserve"> приямка</w:t>
      </w:r>
      <w:r w:rsidR="00833196" w:rsidRPr="00833196">
        <w:rPr>
          <w:color w:val="000000"/>
          <w:sz w:val="24"/>
          <w:szCs w:val="24"/>
        </w:rPr>
        <w:t xml:space="preserve"> 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833196">
        <w:rPr>
          <w:color w:val="000000"/>
          <w:sz w:val="24"/>
          <w:szCs w:val="24"/>
        </w:rPr>
        <w:t>Берёзовская</w:t>
      </w:r>
      <w:proofErr w:type="spellEnd"/>
      <w:r w:rsidR="00833196" w:rsidRPr="00833196">
        <w:rPr>
          <w:color w:val="000000"/>
          <w:sz w:val="24"/>
          <w:szCs w:val="24"/>
        </w:rPr>
        <w:t>» ГРЭС ПАО «</w:t>
      </w:r>
      <w:proofErr w:type="spellStart"/>
      <w:r w:rsidR="00833196" w:rsidRPr="00833196">
        <w:rPr>
          <w:color w:val="000000"/>
          <w:sz w:val="24"/>
          <w:szCs w:val="24"/>
        </w:rPr>
        <w:t>Юнипро</w:t>
      </w:r>
      <w:proofErr w:type="spellEnd"/>
      <w:r w:rsidR="00833196" w:rsidRPr="00833196">
        <w:rPr>
          <w:color w:val="000000"/>
          <w:sz w:val="24"/>
          <w:szCs w:val="24"/>
        </w:rPr>
        <w:t>»</w:t>
      </w:r>
      <w:r w:rsidR="002F51B0">
        <w:rPr>
          <w:color w:val="000000"/>
          <w:sz w:val="24"/>
          <w:szCs w:val="24"/>
        </w:rPr>
        <w:t xml:space="preserve"> после аварии.</w:t>
      </w:r>
    </w:p>
    <w:p w:rsidR="00412988" w:rsidRPr="007A02EF" w:rsidRDefault="00412988" w:rsidP="00CF6EAE">
      <w:pPr>
        <w:pStyle w:val="a5"/>
        <w:numPr>
          <w:ilvl w:val="0"/>
          <w:numId w:val="0"/>
        </w:numPr>
        <w:spacing w:line="276" w:lineRule="auto"/>
        <w:ind w:left="54"/>
        <w:rPr>
          <w:sz w:val="24"/>
          <w:szCs w:val="24"/>
        </w:rPr>
      </w:pPr>
      <w:r w:rsidRPr="007A02EF">
        <w:rPr>
          <w:b/>
          <w:sz w:val="24"/>
          <w:szCs w:val="24"/>
        </w:rPr>
        <w:t>Место поставки продукции</w:t>
      </w:r>
      <w:r w:rsidR="003D44BE" w:rsidRPr="007A02EF">
        <w:rPr>
          <w:b/>
          <w:sz w:val="24"/>
          <w:szCs w:val="24"/>
        </w:rPr>
        <w:t xml:space="preserve">:  </w:t>
      </w:r>
      <w:r w:rsidRPr="007A02EF">
        <w:rPr>
          <w:bCs/>
          <w:sz w:val="24"/>
          <w:szCs w:val="24"/>
        </w:rPr>
        <w:t>Красноярский край, г. Шарыпово, Промбаза Энергетиков</w:t>
      </w:r>
      <w:r w:rsidR="00CD6598" w:rsidRPr="007A02EF">
        <w:rPr>
          <w:bCs/>
          <w:sz w:val="24"/>
          <w:szCs w:val="24"/>
        </w:rPr>
        <w:t xml:space="preserve"> </w:t>
      </w:r>
      <w:r w:rsidR="00CD6598" w:rsidRPr="007A02EF">
        <w:rPr>
          <w:sz w:val="24"/>
          <w:szCs w:val="24"/>
        </w:rPr>
        <w:t>5.</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 xml:space="preserve">с </w:t>
      </w:r>
      <w:r w:rsidR="002D140C">
        <w:rPr>
          <w:spacing w:val="-1"/>
          <w:sz w:val="24"/>
          <w:szCs w:val="24"/>
        </w:rPr>
        <w:t>д</w:t>
      </w:r>
      <w:r w:rsidRPr="00EB426E">
        <w:rPr>
          <w:spacing w:val="-1"/>
          <w:sz w:val="24"/>
          <w:szCs w:val="24"/>
        </w:rPr>
        <w:t>аты подписания</w:t>
      </w:r>
      <w:proofErr w:type="gramEnd"/>
      <w:r w:rsidRPr="00EB426E">
        <w:rPr>
          <w:spacing w:val="-1"/>
          <w:sz w:val="24"/>
          <w:szCs w:val="24"/>
        </w:rPr>
        <w:t xml:space="preserve"> </w:t>
      </w:r>
      <w:bookmarkStart w:id="71" w:name="_GoBack"/>
      <w:bookmarkEnd w:id="71"/>
      <w:r w:rsidRPr="00EB426E">
        <w:rPr>
          <w:spacing w:val="-1"/>
          <w:sz w:val="24"/>
          <w:szCs w:val="24"/>
        </w:rPr>
        <w:t>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2F51B0">
        <w:rPr>
          <w:sz w:val="24"/>
          <w:szCs w:val="24"/>
        </w:rPr>
        <w:t>21.08.2017г.</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4E" w:rsidRDefault="00DC5F4E">
      <w:r>
        <w:separator/>
      </w:r>
    </w:p>
  </w:endnote>
  <w:endnote w:type="continuationSeparator" w:id="0">
    <w:p w:rsidR="00DC5F4E" w:rsidRDefault="00DC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F2447A" w:rsidRDefault="00F2447A">
        <w:pPr>
          <w:pStyle w:val="af0"/>
          <w:jc w:val="right"/>
        </w:pPr>
        <w:r>
          <w:fldChar w:fldCharType="begin"/>
        </w:r>
        <w:r>
          <w:instrText xml:space="preserve"> PAGE   \* MERGEFORMAT </w:instrText>
        </w:r>
        <w:r>
          <w:fldChar w:fldCharType="separate"/>
        </w:r>
        <w:r w:rsidR="002F51B0">
          <w:rPr>
            <w:noProof/>
          </w:rPr>
          <w:t>41</w:t>
        </w:r>
        <w:r>
          <w:rPr>
            <w:noProof/>
          </w:rPr>
          <w:fldChar w:fldCharType="end"/>
        </w:r>
      </w:p>
    </w:sdtContent>
  </w:sdt>
  <w:p w:rsidR="00F2447A" w:rsidRDefault="00F244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4E" w:rsidRDefault="00DC5F4E">
      <w:r>
        <w:separator/>
      </w:r>
    </w:p>
  </w:footnote>
  <w:footnote w:type="continuationSeparator" w:id="0">
    <w:p w:rsidR="00DC5F4E" w:rsidRDefault="00DC5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7A" w:rsidRPr="00F01080" w:rsidRDefault="00F244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6"/>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5"/>
  </w:num>
  <w:num w:numId="41">
    <w:abstractNumId w:val="27"/>
    <w:lvlOverride w:ilvl="0">
      <w:startOverride w:val="4"/>
    </w:lvlOverride>
    <w:lvlOverride w:ilvl="1">
      <w:startOverride w:val="9"/>
    </w:lvlOverride>
  </w:num>
  <w:num w:numId="42">
    <w:abstractNumId w:val="32"/>
  </w:num>
  <w:num w:numId="43">
    <w:abstractNumId w:val="35"/>
  </w:num>
  <w:num w:numId="4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0C6B"/>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7E8"/>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2C41"/>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CA5"/>
    <w:rsid w:val="00196FA0"/>
    <w:rsid w:val="00197A91"/>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D96"/>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617"/>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3F49"/>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40C"/>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B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133D"/>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4862"/>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2AFD"/>
    <w:rsid w:val="00433051"/>
    <w:rsid w:val="00433F9D"/>
    <w:rsid w:val="004345B5"/>
    <w:rsid w:val="004356CC"/>
    <w:rsid w:val="00435A10"/>
    <w:rsid w:val="00435AE1"/>
    <w:rsid w:val="00436CC9"/>
    <w:rsid w:val="00436EE7"/>
    <w:rsid w:val="00437483"/>
    <w:rsid w:val="00437B68"/>
    <w:rsid w:val="00442A59"/>
    <w:rsid w:val="004432FC"/>
    <w:rsid w:val="00444CE8"/>
    <w:rsid w:val="00444D73"/>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0F5"/>
    <w:rsid w:val="00476D81"/>
    <w:rsid w:val="00477C0B"/>
    <w:rsid w:val="00480719"/>
    <w:rsid w:val="00480C72"/>
    <w:rsid w:val="00480C9C"/>
    <w:rsid w:val="004812D8"/>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CC0"/>
    <w:rsid w:val="005019CE"/>
    <w:rsid w:val="00501ED6"/>
    <w:rsid w:val="00503B17"/>
    <w:rsid w:val="00504CB0"/>
    <w:rsid w:val="00505367"/>
    <w:rsid w:val="005069BD"/>
    <w:rsid w:val="00506A09"/>
    <w:rsid w:val="00506C24"/>
    <w:rsid w:val="0050799D"/>
    <w:rsid w:val="00507F06"/>
    <w:rsid w:val="00510C20"/>
    <w:rsid w:val="00511C91"/>
    <w:rsid w:val="005126D6"/>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A7E"/>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48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A4"/>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7F5"/>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2EF"/>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C23"/>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196"/>
    <w:rsid w:val="00833A68"/>
    <w:rsid w:val="00833BEE"/>
    <w:rsid w:val="00833F7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67"/>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0F6C"/>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44B9"/>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5AD5"/>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2D69"/>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3D8"/>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6FC"/>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0BB"/>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20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7C5"/>
    <w:rsid w:val="00C86BB5"/>
    <w:rsid w:val="00C87487"/>
    <w:rsid w:val="00C90123"/>
    <w:rsid w:val="00C90CEE"/>
    <w:rsid w:val="00C910FE"/>
    <w:rsid w:val="00C937C4"/>
    <w:rsid w:val="00C93924"/>
    <w:rsid w:val="00C93CCA"/>
    <w:rsid w:val="00C93E63"/>
    <w:rsid w:val="00C9409E"/>
    <w:rsid w:val="00C942B4"/>
    <w:rsid w:val="00C948F9"/>
    <w:rsid w:val="00C959FC"/>
    <w:rsid w:val="00C95B7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CF6EAE"/>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4772"/>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5F4E"/>
    <w:rsid w:val="00DC6868"/>
    <w:rsid w:val="00DC7040"/>
    <w:rsid w:val="00DC7186"/>
    <w:rsid w:val="00DC73B3"/>
    <w:rsid w:val="00DC7717"/>
    <w:rsid w:val="00DD0843"/>
    <w:rsid w:val="00DD087C"/>
    <w:rsid w:val="00DD0AD9"/>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84D"/>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447A"/>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6B72"/>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20Myasnikov_A@unipro.energy%20"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20Myasnikov_A@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349AC-7D00-43CB-875E-9F7EA884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41</Pages>
  <Words>12194</Words>
  <Characters>69511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20</cp:revision>
  <cp:lastPrinted>2017-04-20T03:07:00Z</cp:lastPrinted>
  <dcterms:created xsi:type="dcterms:W3CDTF">2017-04-06T05:26:00Z</dcterms:created>
  <dcterms:modified xsi:type="dcterms:W3CDTF">2017-08-11T04:43:00Z</dcterms:modified>
</cp:coreProperties>
</file>