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C42749">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 xml:space="preserve">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C4FCB" w14:textId="77777777" w:rsidR="003E046F" w:rsidRDefault="003E046F">
      <w:r>
        <w:separator/>
      </w:r>
    </w:p>
  </w:endnote>
  <w:endnote w:type="continuationSeparator" w:id="0">
    <w:p w14:paraId="42A80F37" w14:textId="77777777" w:rsidR="003E046F" w:rsidRDefault="003E046F">
      <w:r>
        <w:continuationSeparator/>
      </w:r>
    </w:p>
  </w:endnote>
  <w:endnote w:type="continuationNotice" w:id="1">
    <w:p w14:paraId="2AE50761" w14:textId="77777777" w:rsidR="003E046F" w:rsidRDefault="003E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C75DD">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B66D" w14:textId="77777777" w:rsidR="003E046F" w:rsidRDefault="003E046F">
      <w:r>
        <w:separator/>
      </w:r>
    </w:p>
  </w:footnote>
  <w:footnote w:type="continuationSeparator" w:id="0">
    <w:p w14:paraId="57017232" w14:textId="77777777" w:rsidR="003E046F" w:rsidRDefault="003E046F">
      <w:r>
        <w:continuationSeparator/>
      </w:r>
    </w:p>
  </w:footnote>
  <w:footnote w:type="continuationNotice" w:id="1">
    <w:p w14:paraId="65EFF07B" w14:textId="77777777" w:rsidR="003E046F" w:rsidRDefault="003E04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C75DD"/>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A7B7B"/>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purl.org/dc/elements/1.1/"/>
    <ds:schemaRef ds:uri="http://schemas.microsoft.com/office/2006/documentManagement/types"/>
    <ds:schemaRef ds:uri="81918e25-7def-4cf4-9c56-8887b6c128a0"/>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C8C92553-73F2-486D-B644-65AEB9F9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6855</Words>
  <Characters>49820</Characters>
  <Application>Microsoft Office Word</Application>
  <DocSecurity>0</DocSecurity>
  <Lines>415</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2</cp:revision>
  <cp:lastPrinted>2008-10-16T11:25:00Z</cp:lastPrinted>
  <dcterms:created xsi:type="dcterms:W3CDTF">2017-04-13T08:42:00Z</dcterms:created>
  <dcterms:modified xsi:type="dcterms:W3CDTF">2017-04-13T08:42:00Z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