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460E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460E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460E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460E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71698F">
        <w:rPr>
          <w:rFonts w:ascii="Arial" w:hAnsi="Arial" w:cs="Arial"/>
          <w:color w:val="000000"/>
          <w:sz w:val="20"/>
        </w:rPr>
        <w:t>29</w:t>
      </w:r>
      <w:bookmarkStart w:id="4" w:name="_GoBack"/>
      <w:bookmarkEnd w:id="4"/>
      <w:r w:rsidR="00F615D3" w:rsidRPr="007164D4">
        <w:rPr>
          <w:rFonts w:ascii="Arial" w:hAnsi="Arial" w:cs="Arial"/>
          <w:sz w:val="20"/>
        </w:rPr>
        <w:t xml:space="preserve"> от </w:t>
      </w:r>
      <w:r w:rsidR="00D32B9C">
        <w:rPr>
          <w:rFonts w:ascii="Arial" w:hAnsi="Arial" w:cs="Arial"/>
          <w:sz w:val="20"/>
        </w:rPr>
        <w:t>16.03.2017</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D32B9C">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D32B9C">
              <w:rPr>
                <w:rFonts w:ascii="Arial" w:hAnsi="Arial" w:cs="Arial"/>
                <w:bCs/>
                <w:sz w:val="20"/>
              </w:rPr>
              <w:t>металлопроката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D32B9C" w:rsidP="00787191">
            <w:pPr>
              <w:spacing w:line="276"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E43FD8" w:rsidRPr="00E43FD8">
              <w:rPr>
                <w:rFonts w:ascii="Arial" w:hAnsi="Arial" w:cs="Arial"/>
                <w:sz w:val="20"/>
                <w:lang w:eastAsia="en-US"/>
              </w:rPr>
              <w:t xml:space="preserve"> +7</w:t>
            </w:r>
            <w:r w:rsidR="00E43FD8" w:rsidRPr="00E43FD8">
              <w:rPr>
                <w:rFonts w:ascii="Arial" w:hAnsi="Arial" w:cs="Arial"/>
                <w:sz w:val="20"/>
                <w:lang w:val="en-US" w:eastAsia="en-US"/>
              </w:rPr>
              <w:t> </w:t>
            </w:r>
            <w:r w:rsidR="00787191">
              <w:rPr>
                <w:rFonts w:ascii="Arial" w:hAnsi="Arial" w:cs="Arial"/>
                <w:sz w:val="20"/>
                <w:lang w:eastAsia="en-US"/>
              </w:rPr>
              <w:t>(</w:t>
            </w:r>
            <w:r w:rsidR="00E43FD8" w:rsidRPr="00E43FD8">
              <w:rPr>
                <w:rFonts w:ascii="Arial" w:hAnsi="Arial" w:cs="Arial"/>
                <w:sz w:val="20"/>
                <w:lang w:val="en-US" w:eastAsia="en-US"/>
              </w:rPr>
              <w:t>39153</w:t>
            </w:r>
            <w:r w:rsidR="00787191">
              <w:rPr>
                <w:rFonts w:ascii="Arial" w:hAnsi="Arial" w:cs="Arial"/>
                <w:sz w:val="20"/>
                <w:lang w:eastAsia="en-US"/>
              </w:rPr>
              <w:t>)</w:t>
            </w:r>
            <w:r w:rsidR="00E43FD8"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D32B9C">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D32B9C">
              <w:rPr>
                <w:rFonts w:ascii="Arial" w:hAnsi="Arial" w:cs="Arial"/>
                <w:sz w:val="20"/>
                <w:lang w:eastAsia="en-US"/>
              </w:rPr>
              <w:t>16.03.2017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D32B9C">
              <w:rPr>
                <w:rFonts w:ascii="Arial" w:hAnsi="Arial" w:cs="Arial"/>
                <w:sz w:val="20"/>
                <w:lang w:eastAsia="en-US"/>
              </w:rPr>
              <w:t>23.03.2017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E6" w:rsidRDefault="00D460E6">
      <w:r>
        <w:separator/>
      </w:r>
    </w:p>
  </w:endnote>
  <w:endnote w:type="continuationSeparator" w:id="0">
    <w:p w:rsidR="00D460E6" w:rsidRDefault="00D4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71698F">
          <w:rPr>
            <w:noProof/>
          </w:rPr>
          <w:t>5</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E6" w:rsidRDefault="00D460E6">
      <w:r>
        <w:separator/>
      </w:r>
    </w:p>
  </w:footnote>
  <w:footnote w:type="continuationSeparator" w:id="0">
    <w:p w:rsidR="00D460E6" w:rsidRDefault="00D46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8D1DF-EC82-4A06-AE4D-7CAB9CC0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4958</Words>
  <Characters>28263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23</cp:revision>
  <cp:lastPrinted>2016-09-06T02:56:00Z</cp:lastPrinted>
  <dcterms:created xsi:type="dcterms:W3CDTF">2016-09-06T01:09:00Z</dcterms:created>
  <dcterms:modified xsi:type="dcterms:W3CDTF">2017-03-16T04:13:00Z</dcterms:modified>
</cp:coreProperties>
</file>