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487E97">
        <w:rPr>
          <w:b/>
          <w:sz w:val="24"/>
          <w:szCs w:val="24"/>
        </w:rPr>
        <w:t>549</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611C40">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611C40">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611C40">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611C40"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611C40">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611C40"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487E97">
        <w:rPr>
          <w:sz w:val="24"/>
          <w:szCs w:val="24"/>
        </w:rPr>
        <w:t>549</w:t>
      </w:r>
      <w:r w:rsidR="00055A26">
        <w:rPr>
          <w:sz w:val="24"/>
          <w:szCs w:val="24"/>
        </w:rPr>
        <w:t>/ПМ</w:t>
      </w:r>
      <w:r w:rsidR="00F62CCE" w:rsidRPr="00E357D4">
        <w:rPr>
          <w:sz w:val="24"/>
          <w:szCs w:val="24"/>
        </w:rPr>
        <w:t xml:space="preserve"> от </w:t>
      </w:r>
      <w:r w:rsidR="00487E97">
        <w:rPr>
          <w:sz w:val="24"/>
          <w:szCs w:val="24"/>
        </w:rPr>
        <w:t>10</w:t>
      </w:r>
      <w:r w:rsidR="00F62CCE" w:rsidRPr="00E357D4">
        <w:rPr>
          <w:sz w:val="24"/>
          <w:szCs w:val="24"/>
        </w:rPr>
        <w:t>.</w:t>
      </w:r>
      <w:r w:rsidR="00487E97">
        <w:rPr>
          <w:sz w:val="24"/>
          <w:szCs w:val="24"/>
        </w:rPr>
        <w:t>1</w:t>
      </w:r>
      <w:r w:rsidR="00B73A07">
        <w:rPr>
          <w:sz w:val="24"/>
          <w:szCs w:val="24"/>
        </w:rPr>
        <w:t>0</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87E97" w:rsidP="00B73A07">
            <w:pPr>
              <w:autoSpaceDE w:val="0"/>
              <w:autoSpaceDN w:val="0"/>
              <w:adjustRightInd w:val="0"/>
              <w:spacing w:line="276" w:lineRule="auto"/>
              <w:ind w:right="-72" w:firstLine="0"/>
              <w:jc w:val="left"/>
              <w:rPr>
                <w:bCs/>
                <w:sz w:val="24"/>
                <w:szCs w:val="24"/>
              </w:rPr>
            </w:pPr>
            <w:r w:rsidRPr="00487E97">
              <w:rPr>
                <w:color w:val="000000"/>
                <w:sz w:val="24"/>
                <w:szCs w:val="24"/>
              </w:rPr>
              <w:t>Поставка кабеля и электротехнических материалов для выполнения работ по временному отоплению УПТ для нужд  ПАО «</w:t>
            </w:r>
            <w:proofErr w:type="spellStart"/>
            <w:r w:rsidRPr="00487E97">
              <w:rPr>
                <w:color w:val="000000"/>
                <w:sz w:val="24"/>
                <w:szCs w:val="24"/>
              </w:rPr>
              <w:t>Юнипро</w:t>
            </w:r>
            <w:proofErr w:type="spellEnd"/>
            <w:r w:rsidRPr="00487E97">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87E97" w:rsidRPr="00487E97">
              <w:rPr>
                <w:sz w:val="24"/>
                <w:szCs w:val="24"/>
                <w:lang w:eastAsia="en-US"/>
              </w:rPr>
              <w:t>Лукина Наталья Вадимовна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487E97" w:rsidP="00487E97">
            <w:pPr>
              <w:autoSpaceDE w:val="0"/>
              <w:autoSpaceDN w:val="0"/>
              <w:adjustRightInd w:val="0"/>
              <w:spacing w:line="276" w:lineRule="auto"/>
              <w:ind w:firstLine="0"/>
              <w:rPr>
                <w:sz w:val="24"/>
                <w:szCs w:val="24"/>
              </w:rPr>
            </w:pPr>
            <w:hyperlink r:id="rId10" w:history="1">
              <w:r w:rsidRPr="004B3206">
                <w:rPr>
                  <w:rStyle w:val="af2"/>
                  <w:sz w:val="24"/>
                  <w:szCs w:val="24"/>
                </w:rPr>
                <w:t>Lukina_N@unipro.energy</w:t>
              </w:r>
            </w:hyperlink>
            <w:r>
              <w:rPr>
                <w:sz w:val="24"/>
                <w:szCs w:val="24"/>
              </w:rPr>
              <w:t xml:space="preserve"> </w:t>
            </w:r>
            <w:r w:rsidRPr="00487E97">
              <w:rPr>
                <w:sz w:val="24"/>
                <w:szCs w:val="24"/>
              </w:rPr>
              <w:t xml:space="preserve"> </w:t>
            </w:r>
          </w:p>
          <w:p w:rsidR="00487E97" w:rsidRPr="00487E97" w:rsidRDefault="00487E97" w:rsidP="00487E97">
            <w:pPr>
              <w:autoSpaceDE w:val="0"/>
              <w:autoSpaceDN w:val="0"/>
              <w:adjustRightInd w:val="0"/>
              <w:spacing w:line="276" w:lineRule="auto"/>
              <w:ind w:firstLine="0"/>
              <w:rPr>
                <w:sz w:val="24"/>
                <w:szCs w:val="24"/>
              </w:rPr>
            </w:pPr>
            <w:r w:rsidRPr="00487E97">
              <w:rPr>
                <w:sz w:val="24"/>
                <w:szCs w:val="24"/>
              </w:rPr>
              <w:t>Тел: +7 (39153) 71-6-21 доб. 61-54</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487E97">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487E97">
              <w:rPr>
                <w:b/>
                <w:sz w:val="24"/>
                <w:szCs w:val="24"/>
                <w:lang w:eastAsia="en-US"/>
              </w:rPr>
              <w:t>10</w:t>
            </w:r>
            <w:r w:rsidRPr="006C2F96">
              <w:rPr>
                <w:b/>
                <w:sz w:val="24"/>
                <w:szCs w:val="24"/>
                <w:lang w:eastAsia="en-US"/>
              </w:rPr>
              <w:t>.</w:t>
            </w:r>
            <w:r w:rsidR="00487E97">
              <w:rPr>
                <w:b/>
                <w:sz w:val="24"/>
                <w:szCs w:val="24"/>
                <w:lang w:eastAsia="en-US"/>
              </w:rPr>
              <w:t>1</w:t>
            </w:r>
            <w:r w:rsidRPr="006C2F96">
              <w:rPr>
                <w:b/>
                <w:sz w:val="24"/>
                <w:szCs w:val="24"/>
                <w:lang w:eastAsia="en-US"/>
              </w:rPr>
              <w:t>0.2016г.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487E97">
              <w:rPr>
                <w:sz w:val="24"/>
                <w:szCs w:val="24"/>
                <w:lang w:eastAsia="en-US"/>
              </w:rPr>
              <w:t>13</w:t>
            </w:r>
            <w:r w:rsidRPr="00CB5A92">
              <w:rPr>
                <w:sz w:val="24"/>
                <w:szCs w:val="24"/>
                <w:lang w:eastAsia="en-US"/>
              </w:rPr>
              <w:t>.</w:t>
            </w:r>
            <w:r w:rsidR="0096278D">
              <w:rPr>
                <w:sz w:val="24"/>
                <w:szCs w:val="24"/>
                <w:lang w:eastAsia="en-US"/>
              </w:rPr>
              <w:t>1</w:t>
            </w:r>
            <w:r w:rsidRPr="00CB5A92">
              <w:rPr>
                <w:sz w:val="24"/>
                <w:szCs w:val="24"/>
                <w:lang w:eastAsia="en-US"/>
              </w:rPr>
              <w:t>0.2016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487E97"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Pr="00487E97">
                <w:rPr>
                  <w:rStyle w:val="af2"/>
                  <w:sz w:val="24"/>
                  <w:szCs w:val="24"/>
                </w:rPr>
                <w:t>Lukina_N@unipro.energy</w:t>
              </w:r>
            </w:hyperlink>
            <w:r w:rsidRPr="00487E97">
              <w:rPr>
                <w:sz w:val="24"/>
                <w:szCs w:val="24"/>
              </w:rPr>
              <w:t xml:space="preserve"> </w:t>
            </w:r>
            <w:r w:rsidR="00055A26" w:rsidRPr="00487E97">
              <w:rPr>
                <w:sz w:val="24"/>
                <w:szCs w:val="24"/>
              </w:rPr>
              <w:t xml:space="preserve"> </w:t>
            </w:r>
            <w:r w:rsidR="0004281C" w:rsidRPr="00487E97">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73A07" w:rsidP="00573785">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611C40"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487E97" w:rsidRPr="00487E97">
        <w:rPr>
          <w:b/>
          <w:sz w:val="24"/>
          <w:szCs w:val="24"/>
        </w:rPr>
        <w:t>кабеля и электротехнических материалов для выполнения работ по временному отоплению УПТ для нужд  ПАО «</w:t>
      </w:r>
      <w:proofErr w:type="spellStart"/>
      <w:r w:rsidR="00487E97" w:rsidRPr="00487E97">
        <w:rPr>
          <w:b/>
          <w:sz w:val="24"/>
          <w:szCs w:val="24"/>
        </w:rPr>
        <w:t>Юнипро</w:t>
      </w:r>
      <w:proofErr w:type="spellEnd"/>
      <w:r w:rsidR="00487E97" w:rsidRPr="00487E97">
        <w:rPr>
          <w:b/>
          <w:sz w:val="24"/>
          <w:szCs w:val="24"/>
        </w:rPr>
        <w:t>»</w:t>
      </w:r>
    </w:p>
    <w:p w:rsidR="00487E97" w:rsidRPr="00EB426E" w:rsidRDefault="00487E97" w:rsidP="00224AEA">
      <w:pPr>
        <w:ind w:firstLine="0"/>
        <w:jc w:val="left"/>
        <w:rPr>
          <w:b/>
          <w:sz w:val="24"/>
          <w:szCs w:val="24"/>
        </w:rPr>
      </w:pP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487E97" w:rsidRPr="00487E97">
        <w:rPr>
          <w:bCs/>
          <w:sz w:val="24"/>
          <w:szCs w:val="24"/>
        </w:rPr>
        <w:t>кабеля и электротехнических материалов для выполнения работ по временному отоплению УПТ для нужд  ПАО «</w:t>
      </w:r>
      <w:proofErr w:type="spellStart"/>
      <w:r w:rsidR="00487E97" w:rsidRPr="00487E97">
        <w:rPr>
          <w:bCs/>
          <w:sz w:val="24"/>
          <w:szCs w:val="24"/>
        </w:rPr>
        <w:t>Юнипро</w:t>
      </w:r>
      <w:proofErr w:type="spellEnd"/>
      <w:r w:rsidR="00487E97" w:rsidRPr="00487E97">
        <w:rPr>
          <w:bCs/>
          <w:sz w:val="24"/>
          <w:szCs w:val="24"/>
        </w:rPr>
        <w:t>»</w:t>
      </w:r>
      <w:bookmarkStart w:id="73" w:name="_GoBack"/>
      <w:bookmarkEnd w:id="73"/>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73A07">
        <w:rPr>
          <w:sz w:val="24"/>
          <w:szCs w:val="24"/>
        </w:rPr>
        <w:t>октябрь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C40" w:rsidRDefault="00611C40">
      <w:r>
        <w:separator/>
      </w:r>
    </w:p>
  </w:endnote>
  <w:endnote w:type="continuationSeparator" w:id="0">
    <w:p w:rsidR="00611C40" w:rsidRDefault="0061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487E97">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C40" w:rsidRDefault="00611C40">
      <w:r>
        <w:separator/>
      </w:r>
    </w:p>
  </w:footnote>
  <w:footnote w:type="continuationSeparator" w:id="0">
    <w:p w:rsidR="00611C40" w:rsidRDefault="00611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Lukin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234E0-DAB0-440D-8C4C-BE05133B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43</Pages>
  <Words>12238</Words>
  <Characters>69760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20</cp:revision>
  <cp:lastPrinted>2015-10-21T03:59:00Z</cp:lastPrinted>
  <dcterms:created xsi:type="dcterms:W3CDTF">2016-04-11T01:35:00Z</dcterms:created>
  <dcterms:modified xsi:type="dcterms:W3CDTF">2016-10-10T08:58:00Z</dcterms:modified>
</cp:coreProperties>
</file>