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945A8">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0945A8">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0945A8">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0945A8">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6B5527">
        <w:rPr>
          <w:rFonts w:ascii="Arial" w:hAnsi="Arial" w:cs="Arial"/>
          <w:color w:val="000000"/>
          <w:sz w:val="22"/>
          <w:szCs w:val="22"/>
        </w:rPr>
        <w:t>И031</w:t>
      </w:r>
      <w:r w:rsidR="00F615D3" w:rsidRPr="00AE1BE0">
        <w:rPr>
          <w:rFonts w:ascii="Arial" w:hAnsi="Arial" w:cs="Arial"/>
          <w:i/>
          <w:color w:val="FF0000"/>
          <w:sz w:val="22"/>
          <w:szCs w:val="22"/>
        </w:rPr>
        <w:t xml:space="preserve"> </w:t>
      </w:r>
      <w:r w:rsidR="00F615D3" w:rsidRPr="006B5527">
        <w:rPr>
          <w:rFonts w:ascii="Arial" w:hAnsi="Arial" w:cs="Arial"/>
          <w:i/>
          <w:sz w:val="22"/>
          <w:szCs w:val="22"/>
        </w:rPr>
        <w:t xml:space="preserve">от </w:t>
      </w:r>
      <w:r w:rsidR="006B5527" w:rsidRPr="006B5527">
        <w:rPr>
          <w:rFonts w:ascii="Arial" w:hAnsi="Arial" w:cs="Arial"/>
          <w:i/>
          <w:sz w:val="22"/>
          <w:szCs w:val="22"/>
        </w:rPr>
        <w:t>26</w:t>
      </w:r>
      <w:r w:rsidR="00F615D3" w:rsidRPr="006B5527">
        <w:rPr>
          <w:rFonts w:ascii="Arial" w:hAnsi="Arial" w:cs="Arial"/>
          <w:i/>
          <w:sz w:val="22"/>
          <w:szCs w:val="22"/>
        </w:rPr>
        <w:t>.</w:t>
      </w:r>
      <w:r w:rsidR="000637C3" w:rsidRPr="006B5527">
        <w:rPr>
          <w:rFonts w:ascii="Arial" w:hAnsi="Arial" w:cs="Arial"/>
          <w:i/>
          <w:sz w:val="22"/>
          <w:szCs w:val="22"/>
        </w:rPr>
        <w:t>0</w:t>
      </w:r>
      <w:r w:rsidR="00A2536E" w:rsidRPr="006B5527">
        <w:rPr>
          <w:rFonts w:ascii="Arial" w:hAnsi="Arial" w:cs="Arial"/>
          <w:i/>
          <w:sz w:val="22"/>
          <w:szCs w:val="22"/>
        </w:rPr>
        <w:t>9</w:t>
      </w:r>
      <w:r w:rsidR="00F615D3" w:rsidRPr="006B5527">
        <w:rPr>
          <w:rFonts w:ascii="Arial" w:hAnsi="Arial" w:cs="Arial"/>
          <w:i/>
          <w:sz w:val="22"/>
          <w:szCs w:val="22"/>
        </w:rPr>
        <w:t>.201</w:t>
      </w:r>
      <w:r w:rsidR="000637C3" w:rsidRPr="006B5527">
        <w:rPr>
          <w:rFonts w:ascii="Arial" w:hAnsi="Arial" w:cs="Arial"/>
          <w:i/>
          <w:sz w:val="22"/>
          <w:szCs w:val="22"/>
        </w:rPr>
        <w:t>6</w:t>
      </w:r>
      <w:r w:rsidR="00F615D3" w:rsidRPr="006B5527">
        <w:rPr>
          <w:rFonts w:ascii="Arial" w:hAnsi="Arial" w:cs="Arial"/>
          <w:i/>
          <w:sz w:val="22"/>
          <w:szCs w:val="22"/>
        </w:rPr>
        <w:t xml:space="preserve"> г.</w:t>
      </w:r>
      <w:r w:rsidRPr="006B5527">
        <w:rPr>
          <w:rFonts w:ascii="Arial" w:hAnsi="Arial" w:cs="Arial"/>
          <w:sz w:val="22"/>
          <w:szCs w:val="22"/>
        </w:rPr>
        <w:t xml:space="preserve">, </w:t>
      </w:r>
      <w:r w:rsidRPr="00A0776B">
        <w:rPr>
          <w:rFonts w:ascii="Arial" w:hAnsi="Arial" w:cs="Arial"/>
          <w:sz w:val="22"/>
          <w:szCs w:val="22"/>
        </w:rPr>
        <w:t xml:space="preserve">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4651E8" w:rsidRDefault="00F97E57" w:rsidP="00F97E57">
            <w:pPr>
              <w:shd w:val="clear" w:color="auto" w:fill="FFFFFF"/>
              <w:spacing w:before="100" w:beforeAutospacing="1" w:after="100" w:afterAutospacing="1" w:line="240" w:lineRule="auto"/>
              <w:ind w:firstLine="0"/>
              <w:rPr>
                <w:rFonts w:ascii="Arial" w:hAnsi="Arial" w:cs="Arial"/>
                <w:bCs/>
                <w:sz w:val="22"/>
                <w:szCs w:val="22"/>
              </w:rPr>
            </w:pPr>
            <w:r>
              <w:rPr>
                <w:rFonts w:ascii="Arial" w:hAnsi="Arial" w:cs="Arial"/>
                <w:color w:val="000000"/>
                <w:sz w:val="22"/>
                <w:szCs w:val="22"/>
              </w:rPr>
              <w:t xml:space="preserve">Запасные части для </w:t>
            </w:r>
            <w:bookmarkStart w:id="4" w:name="_GoBack"/>
            <w:bookmarkEnd w:id="4"/>
            <w:r w:rsidR="004651E8" w:rsidRPr="004651E8">
              <w:rPr>
                <w:rFonts w:ascii="Arial" w:hAnsi="Arial" w:cs="Arial"/>
                <w:color w:val="000000"/>
                <w:sz w:val="22"/>
                <w:szCs w:val="22"/>
              </w:rPr>
              <w:t>генераторов ТВВ-800; ТВВ-165 для нужд филиалов ПАО «</w:t>
            </w:r>
            <w:proofErr w:type="spellStart"/>
            <w:r w:rsidR="004651E8" w:rsidRPr="004651E8">
              <w:rPr>
                <w:rFonts w:ascii="Arial" w:hAnsi="Arial" w:cs="Arial"/>
                <w:color w:val="000000"/>
                <w:sz w:val="22"/>
                <w:szCs w:val="22"/>
              </w:rPr>
              <w:t>Юнипро</w:t>
            </w:r>
            <w:proofErr w:type="spellEnd"/>
            <w:r w:rsidR="004651E8" w:rsidRPr="004651E8">
              <w:rPr>
                <w:rFonts w:ascii="Arial" w:hAnsi="Arial" w:cs="Arial"/>
                <w:color w:val="000000"/>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5372EB"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5372EB">
              <w:rPr>
                <w:rFonts w:ascii="Arial" w:hAnsi="Arial" w:cs="Arial"/>
                <w:sz w:val="22"/>
                <w:szCs w:val="22"/>
              </w:rPr>
              <w:t>2;</w:t>
            </w:r>
          </w:p>
          <w:p w:rsidR="00102BF3" w:rsidRPr="00C43003" w:rsidRDefault="005372EB"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Яйвинская</w:t>
            </w:r>
            <w:proofErr w:type="spellEnd"/>
            <w:r>
              <w:rPr>
                <w:rFonts w:ascii="Arial" w:hAnsi="Arial" w:cs="Arial"/>
                <w:sz w:val="22"/>
                <w:szCs w:val="22"/>
              </w:rPr>
              <w:t xml:space="preserve"> ГРЭС» Лот №3;</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A7736C">
              <w:rPr>
                <w:rFonts w:ascii="Arial" w:hAnsi="Arial" w:cs="Arial"/>
                <w:b/>
                <w:sz w:val="22"/>
                <w:szCs w:val="22"/>
              </w:rPr>
              <w:t>БГРЭС</w:t>
            </w:r>
            <w:r w:rsidRPr="00C43003">
              <w:rPr>
                <w:rFonts w:ascii="Arial" w:hAnsi="Arial" w:cs="Arial"/>
                <w:sz w:val="22"/>
                <w:szCs w:val="22"/>
              </w:rPr>
              <w:t xml:space="preserve">: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102BF3" w:rsidRPr="00C43003" w:rsidRDefault="00102BF3" w:rsidP="00102BF3">
            <w:pPr>
              <w:spacing w:line="300" w:lineRule="atLeast"/>
              <w:ind w:firstLine="0"/>
              <w:jc w:val="left"/>
              <w:rPr>
                <w:rFonts w:ascii="Arial" w:hAnsi="Arial" w:cs="Arial"/>
                <w:i/>
                <w:sz w:val="22"/>
                <w:szCs w:val="22"/>
              </w:rPr>
            </w:pPr>
            <w:r w:rsidRPr="00A7736C">
              <w:rPr>
                <w:rFonts w:ascii="Arial" w:hAnsi="Arial" w:cs="Arial"/>
                <w:b/>
                <w:color w:val="000000"/>
                <w:sz w:val="22"/>
                <w:szCs w:val="22"/>
              </w:rPr>
              <w:t>СуГРЭС-2</w:t>
            </w:r>
            <w:r w:rsidRPr="00C43003">
              <w:rPr>
                <w:rFonts w:ascii="Arial" w:hAnsi="Arial" w:cs="Arial"/>
                <w:color w:val="000000"/>
                <w:sz w:val="22"/>
                <w:szCs w:val="22"/>
              </w:rPr>
              <w:t>:</w:t>
            </w:r>
            <w:r w:rsidR="00A7736C">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p w:rsidR="00BC5425" w:rsidRPr="00C43003" w:rsidRDefault="00A7736C" w:rsidP="00BB2FCB">
            <w:pPr>
              <w:spacing w:line="300" w:lineRule="atLeast"/>
              <w:ind w:firstLine="0"/>
              <w:jc w:val="left"/>
              <w:rPr>
                <w:rFonts w:ascii="Arial" w:hAnsi="Arial" w:cs="Arial"/>
                <w:sz w:val="22"/>
                <w:szCs w:val="22"/>
                <w:lang w:eastAsia="en-US"/>
              </w:rPr>
            </w:pPr>
            <w:r w:rsidRPr="00A7736C">
              <w:rPr>
                <w:rFonts w:ascii="Arial" w:hAnsi="Arial" w:cs="Arial"/>
                <w:b/>
                <w:sz w:val="22"/>
                <w:szCs w:val="22"/>
              </w:rPr>
              <w:t>ЯГРЭС</w:t>
            </w:r>
            <w:r w:rsidRPr="00A7736C">
              <w:rPr>
                <w:rFonts w:ascii="Arial" w:hAnsi="Arial" w:cs="Arial"/>
                <w:sz w:val="22"/>
                <w:szCs w:val="22"/>
              </w:rPr>
              <w:t xml:space="preserve">: Россия, 618340, Пермский край, </w:t>
            </w:r>
            <w:proofErr w:type="spellStart"/>
            <w:r w:rsidRPr="00A7736C">
              <w:rPr>
                <w:rFonts w:ascii="Arial" w:hAnsi="Arial" w:cs="Arial"/>
                <w:sz w:val="22"/>
                <w:szCs w:val="22"/>
              </w:rPr>
              <w:t>г</w:t>
            </w:r>
            <w:proofErr w:type="gramStart"/>
            <w:r w:rsidRPr="00A7736C">
              <w:rPr>
                <w:rFonts w:ascii="Arial" w:hAnsi="Arial" w:cs="Arial"/>
                <w:sz w:val="22"/>
                <w:szCs w:val="22"/>
              </w:rPr>
              <w:t>.А</w:t>
            </w:r>
            <w:proofErr w:type="gramEnd"/>
            <w:r w:rsidRPr="00A7736C">
              <w:rPr>
                <w:rFonts w:ascii="Arial" w:hAnsi="Arial" w:cs="Arial"/>
                <w:sz w:val="22"/>
                <w:szCs w:val="22"/>
              </w:rPr>
              <w:t>лександровск</w:t>
            </w:r>
            <w:proofErr w:type="spellEnd"/>
            <w:r w:rsidRPr="00A7736C">
              <w:rPr>
                <w:rFonts w:ascii="Arial" w:hAnsi="Arial" w:cs="Arial"/>
                <w:sz w:val="22"/>
                <w:szCs w:val="22"/>
              </w:rPr>
              <w:t xml:space="preserve">, </w:t>
            </w:r>
            <w:proofErr w:type="spellStart"/>
            <w:r w:rsidRPr="00A7736C">
              <w:rPr>
                <w:rFonts w:ascii="Arial" w:hAnsi="Arial" w:cs="Arial"/>
                <w:sz w:val="22"/>
                <w:szCs w:val="22"/>
              </w:rPr>
              <w:t>п.Яйва</w:t>
            </w:r>
            <w:proofErr w:type="spellEnd"/>
            <w:r w:rsidRPr="00A7736C">
              <w:rPr>
                <w:rFonts w:ascii="Arial" w:hAnsi="Arial" w:cs="Arial"/>
                <w:sz w:val="22"/>
                <w:szCs w:val="22"/>
              </w:rPr>
              <w:t xml:space="preserve">,  ул.Тимирязева,5.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6B5527">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Дата публикации </w:t>
            </w:r>
            <w:r w:rsidRPr="006B5527">
              <w:rPr>
                <w:rFonts w:ascii="Arial" w:hAnsi="Arial" w:cs="Arial"/>
                <w:sz w:val="22"/>
                <w:szCs w:val="22"/>
                <w:lang w:eastAsia="en-US"/>
              </w:rPr>
              <w:t>Уведомления:</w:t>
            </w:r>
            <w:r w:rsidR="00D92B0A" w:rsidRPr="006B5527">
              <w:rPr>
                <w:rFonts w:ascii="Arial" w:hAnsi="Arial" w:cs="Arial"/>
                <w:sz w:val="22"/>
                <w:szCs w:val="22"/>
                <w:lang w:eastAsia="en-US"/>
              </w:rPr>
              <w:t xml:space="preserve"> </w:t>
            </w:r>
            <w:r w:rsidR="006B5527" w:rsidRPr="006B5527">
              <w:rPr>
                <w:rFonts w:ascii="Arial" w:hAnsi="Arial" w:cs="Arial"/>
                <w:sz w:val="22"/>
                <w:szCs w:val="22"/>
                <w:lang w:eastAsia="en-US"/>
              </w:rPr>
              <w:t>26</w:t>
            </w:r>
            <w:r w:rsidRPr="006B5527">
              <w:rPr>
                <w:rFonts w:ascii="Arial" w:hAnsi="Arial" w:cs="Arial"/>
                <w:sz w:val="22"/>
                <w:szCs w:val="22"/>
                <w:lang w:eastAsia="en-US"/>
              </w:rPr>
              <w:t>.</w:t>
            </w:r>
            <w:r w:rsidR="006B5527" w:rsidRPr="006B5527">
              <w:rPr>
                <w:rFonts w:ascii="Arial" w:hAnsi="Arial" w:cs="Arial"/>
                <w:sz w:val="22"/>
                <w:szCs w:val="22"/>
                <w:lang w:eastAsia="en-US"/>
              </w:rPr>
              <w:t>09</w:t>
            </w:r>
            <w:r w:rsidRPr="006B5527">
              <w:rPr>
                <w:rFonts w:ascii="Arial" w:hAnsi="Arial" w:cs="Arial"/>
                <w:sz w:val="22"/>
                <w:szCs w:val="22"/>
                <w:lang w:eastAsia="en-US"/>
              </w:rPr>
              <w:t>.20</w:t>
            </w:r>
            <w:r w:rsidR="00D92B0A" w:rsidRPr="006B5527">
              <w:rPr>
                <w:rFonts w:ascii="Arial" w:hAnsi="Arial" w:cs="Arial"/>
                <w:sz w:val="22"/>
                <w:szCs w:val="22"/>
                <w:lang w:eastAsia="en-US"/>
              </w:rPr>
              <w:t>1</w:t>
            </w:r>
            <w:r w:rsidR="000637C3" w:rsidRPr="006B5527">
              <w:rPr>
                <w:rFonts w:ascii="Arial" w:hAnsi="Arial" w:cs="Arial"/>
                <w:sz w:val="22"/>
                <w:szCs w:val="22"/>
                <w:lang w:eastAsia="en-US"/>
              </w:rPr>
              <w:t>6</w:t>
            </w:r>
            <w:r w:rsidR="00D92B0A" w:rsidRPr="006B5527">
              <w:rPr>
                <w:rFonts w:ascii="Arial" w:hAnsi="Arial" w:cs="Arial"/>
                <w:sz w:val="22"/>
                <w:szCs w:val="22"/>
                <w:lang w:eastAsia="en-US"/>
              </w:rPr>
              <w:t xml:space="preserve"> </w:t>
            </w:r>
            <w:r w:rsidRPr="006B5527">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6B5527"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6B5527" w:rsidRPr="006B5527">
              <w:rPr>
                <w:rFonts w:ascii="Arial" w:hAnsi="Arial" w:cs="Arial"/>
                <w:sz w:val="22"/>
                <w:szCs w:val="22"/>
                <w:lang w:eastAsia="en-US"/>
              </w:rPr>
              <w:t>1</w:t>
            </w:r>
            <w:r w:rsidR="003D2CF2" w:rsidRPr="006B5527">
              <w:rPr>
                <w:rFonts w:ascii="Arial" w:hAnsi="Arial" w:cs="Arial"/>
                <w:sz w:val="22"/>
                <w:szCs w:val="22"/>
                <w:lang w:eastAsia="en-US"/>
              </w:rPr>
              <w:t>0</w:t>
            </w:r>
            <w:r w:rsidRPr="006B5527">
              <w:rPr>
                <w:rFonts w:ascii="Arial" w:hAnsi="Arial" w:cs="Arial"/>
                <w:sz w:val="22"/>
                <w:szCs w:val="22"/>
                <w:lang w:eastAsia="en-US"/>
              </w:rPr>
              <w:t>.</w:t>
            </w:r>
            <w:r w:rsidR="006B5527" w:rsidRPr="006B5527">
              <w:rPr>
                <w:rFonts w:ascii="Arial" w:hAnsi="Arial" w:cs="Arial"/>
                <w:sz w:val="22"/>
                <w:szCs w:val="22"/>
                <w:lang w:eastAsia="en-US"/>
              </w:rPr>
              <w:t>1</w:t>
            </w:r>
            <w:r w:rsidR="003D2CF2" w:rsidRPr="006B5527">
              <w:rPr>
                <w:rFonts w:ascii="Arial" w:hAnsi="Arial" w:cs="Arial"/>
                <w:sz w:val="22"/>
                <w:szCs w:val="22"/>
                <w:lang w:eastAsia="en-US"/>
              </w:rPr>
              <w:t>0</w:t>
            </w:r>
            <w:r w:rsidR="000D23C6" w:rsidRPr="006B5527">
              <w:rPr>
                <w:rFonts w:ascii="Arial" w:hAnsi="Arial" w:cs="Arial"/>
                <w:sz w:val="22"/>
                <w:szCs w:val="22"/>
                <w:lang w:eastAsia="en-US"/>
              </w:rPr>
              <w:t>.</w:t>
            </w:r>
            <w:r w:rsidRPr="006B5527">
              <w:rPr>
                <w:rFonts w:ascii="Arial" w:hAnsi="Arial" w:cs="Arial"/>
                <w:sz w:val="22"/>
                <w:szCs w:val="22"/>
                <w:lang w:eastAsia="en-US"/>
              </w:rPr>
              <w:t>20</w:t>
            </w:r>
            <w:r w:rsidR="000D23C6" w:rsidRPr="006B5527">
              <w:rPr>
                <w:rFonts w:ascii="Arial" w:hAnsi="Arial" w:cs="Arial"/>
                <w:sz w:val="22"/>
                <w:szCs w:val="22"/>
                <w:lang w:eastAsia="en-US"/>
              </w:rPr>
              <w:t>1</w:t>
            </w:r>
            <w:r w:rsidR="004F1D75" w:rsidRPr="006B5527">
              <w:rPr>
                <w:rFonts w:ascii="Arial" w:hAnsi="Arial" w:cs="Arial"/>
                <w:sz w:val="22"/>
                <w:szCs w:val="22"/>
                <w:lang w:eastAsia="en-US"/>
              </w:rPr>
              <w:t>6</w:t>
            </w:r>
            <w:r w:rsidR="000D23C6" w:rsidRPr="006B5527">
              <w:rPr>
                <w:rFonts w:ascii="Arial" w:hAnsi="Arial" w:cs="Arial"/>
                <w:sz w:val="22"/>
                <w:szCs w:val="22"/>
                <w:lang w:eastAsia="en-US"/>
              </w:rPr>
              <w:t xml:space="preserve"> </w:t>
            </w:r>
            <w:r w:rsidRPr="006B5527">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6B5527"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Pr="006B5527">
              <w:rPr>
                <w:rFonts w:ascii="Arial" w:hAnsi="Arial" w:cs="Arial"/>
                <w:sz w:val="22"/>
                <w:szCs w:val="22"/>
                <w:lang w:eastAsia="en-US"/>
              </w:rPr>
              <w:t xml:space="preserve">до 25.02.2017г. </w:t>
            </w:r>
          </w:p>
          <w:p w:rsidR="00AE1BE0" w:rsidRPr="006B5527"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w:t>
            </w:r>
            <w:r w:rsidRPr="006B5527">
              <w:rPr>
                <w:rFonts w:ascii="Arial" w:hAnsi="Arial" w:cs="Arial"/>
                <w:sz w:val="22"/>
                <w:szCs w:val="22"/>
                <w:lang w:eastAsia="en-US"/>
              </w:rPr>
              <w:t xml:space="preserve">до </w:t>
            </w:r>
            <w:r w:rsidR="006B5527" w:rsidRPr="006B5527">
              <w:rPr>
                <w:rFonts w:ascii="Arial" w:hAnsi="Arial" w:cs="Arial"/>
                <w:sz w:val="22"/>
                <w:szCs w:val="22"/>
                <w:lang w:eastAsia="en-US"/>
              </w:rPr>
              <w:t>31</w:t>
            </w:r>
            <w:r w:rsidRPr="006B5527">
              <w:rPr>
                <w:rFonts w:ascii="Arial" w:hAnsi="Arial" w:cs="Arial"/>
                <w:sz w:val="22"/>
                <w:szCs w:val="22"/>
                <w:lang w:eastAsia="en-US"/>
              </w:rPr>
              <w:t>.</w:t>
            </w:r>
            <w:r w:rsidR="006B5527" w:rsidRPr="006B5527">
              <w:rPr>
                <w:rFonts w:ascii="Arial" w:hAnsi="Arial" w:cs="Arial"/>
                <w:sz w:val="22"/>
                <w:szCs w:val="22"/>
                <w:lang w:eastAsia="en-US"/>
              </w:rPr>
              <w:t>03</w:t>
            </w:r>
            <w:r w:rsidRPr="006B5527">
              <w:rPr>
                <w:rFonts w:ascii="Arial" w:hAnsi="Arial" w:cs="Arial"/>
                <w:sz w:val="22"/>
                <w:szCs w:val="22"/>
                <w:lang w:eastAsia="en-US"/>
              </w:rPr>
              <w:t>.201</w:t>
            </w:r>
            <w:r w:rsidR="006B5527" w:rsidRPr="006B5527">
              <w:rPr>
                <w:rFonts w:ascii="Arial" w:hAnsi="Arial" w:cs="Arial"/>
                <w:sz w:val="22"/>
                <w:szCs w:val="22"/>
                <w:lang w:eastAsia="en-US"/>
              </w:rPr>
              <w:t>7</w:t>
            </w:r>
            <w:r w:rsidRPr="006B5527">
              <w:rPr>
                <w:rFonts w:ascii="Arial" w:hAnsi="Arial" w:cs="Arial"/>
                <w:sz w:val="22"/>
                <w:szCs w:val="22"/>
                <w:lang w:eastAsia="en-US"/>
              </w:rPr>
              <w:t>г.</w:t>
            </w:r>
          </w:p>
          <w:p w:rsidR="00AE1BE0" w:rsidRPr="006B5527"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№3 </w:t>
            </w:r>
            <w:r w:rsidRPr="006B5527">
              <w:rPr>
                <w:rFonts w:ascii="Arial" w:hAnsi="Arial" w:cs="Arial"/>
                <w:sz w:val="22"/>
                <w:szCs w:val="22"/>
                <w:lang w:eastAsia="en-US"/>
              </w:rPr>
              <w:t xml:space="preserve">до </w:t>
            </w:r>
            <w:r w:rsidR="006B5527" w:rsidRPr="006B5527">
              <w:rPr>
                <w:rFonts w:ascii="Arial" w:hAnsi="Arial" w:cs="Arial"/>
                <w:sz w:val="22"/>
                <w:szCs w:val="22"/>
                <w:lang w:eastAsia="en-US"/>
              </w:rPr>
              <w:t>3</w:t>
            </w:r>
            <w:r w:rsidRPr="006B5527">
              <w:rPr>
                <w:rFonts w:ascii="Arial" w:hAnsi="Arial" w:cs="Arial"/>
                <w:sz w:val="22"/>
                <w:szCs w:val="22"/>
                <w:lang w:eastAsia="en-US"/>
              </w:rPr>
              <w:t>0.0</w:t>
            </w:r>
            <w:r w:rsidR="006B5527" w:rsidRPr="006B5527">
              <w:rPr>
                <w:rFonts w:ascii="Arial" w:hAnsi="Arial" w:cs="Arial"/>
                <w:sz w:val="22"/>
                <w:szCs w:val="22"/>
                <w:lang w:eastAsia="en-US"/>
              </w:rPr>
              <w:t>6</w:t>
            </w:r>
            <w:r w:rsidRPr="006B5527">
              <w:rPr>
                <w:rFonts w:ascii="Arial" w:hAnsi="Arial" w:cs="Arial"/>
                <w:sz w:val="22"/>
                <w:szCs w:val="22"/>
                <w:lang w:eastAsia="en-US"/>
              </w:rPr>
              <w:t>.201</w:t>
            </w:r>
            <w:r w:rsidR="006B5527" w:rsidRPr="006B5527">
              <w:rPr>
                <w:rFonts w:ascii="Arial" w:hAnsi="Arial" w:cs="Arial"/>
                <w:sz w:val="22"/>
                <w:szCs w:val="22"/>
                <w:lang w:eastAsia="en-US"/>
              </w:rPr>
              <w:t>7</w:t>
            </w:r>
            <w:r w:rsidRPr="006B5527">
              <w:rPr>
                <w:rFonts w:ascii="Arial" w:hAnsi="Arial" w:cs="Arial"/>
                <w:sz w:val="22"/>
                <w:szCs w:val="22"/>
                <w:lang w:eastAsia="en-US"/>
              </w:rPr>
              <w:t>г.</w:t>
            </w:r>
          </w:p>
          <w:p w:rsidR="007B381A" w:rsidRPr="00C43003" w:rsidRDefault="00AE1BE0" w:rsidP="006B5527">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№4 </w:t>
            </w:r>
            <w:r w:rsidRPr="006B5527">
              <w:rPr>
                <w:rFonts w:ascii="Arial" w:hAnsi="Arial" w:cs="Arial"/>
                <w:sz w:val="22"/>
                <w:szCs w:val="22"/>
                <w:lang w:eastAsia="en-US"/>
              </w:rPr>
              <w:t xml:space="preserve">до </w:t>
            </w:r>
            <w:r w:rsidR="006B5527" w:rsidRPr="006B5527">
              <w:rPr>
                <w:rFonts w:ascii="Arial" w:hAnsi="Arial" w:cs="Arial"/>
                <w:sz w:val="22"/>
                <w:szCs w:val="22"/>
                <w:lang w:eastAsia="en-US"/>
              </w:rPr>
              <w:t>28</w:t>
            </w:r>
            <w:r w:rsidRPr="006B5527">
              <w:rPr>
                <w:rFonts w:ascii="Arial" w:hAnsi="Arial" w:cs="Arial"/>
                <w:sz w:val="22"/>
                <w:szCs w:val="22"/>
                <w:lang w:eastAsia="en-US"/>
              </w:rPr>
              <w:t>.0</w:t>
            </w:r>
            <w:r w:rsidR="006B5527" w:rsidRPr="006B5527">
              <w:rPr>
                <w:rFonts w:ascii="Arial" w:hAnsi="Arial" w:cs="Arial"/>
                <w:sz w:val="22"/>
                <w:szCs w:val="22"/>
                <w:lang w:eastAsia="en-US"/>
              </w:rPr>
              <w:t>7</w:t>
            </w:r>
            <w:r w:rsidRPr="006B5527">
              <w:rPr>
                <w:rFonts w:ascii="Arial" w:hAnsi="Arial" w:cs="Arial"/>
                <w:sz w:val="22"/>
                <w:szCs w:val="22"/>
                <w:lang w:eastAsia="en-US"/>
              </w:rPr>
              <w:t>.2017г.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ОАО «Э.ОН Россия»</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75213C" w:rsidRPr="00C43003" w:rsidRDefault="0075213C" w:rsidP="0075213C">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2E07FD" w:rsidRPr="00C43003" w:rsidRDefault="002E07FD" w:rsidP="002E07FD">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ОАО «Э.ОН Россия»</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2E07FD" w:rsidRPr="00C43003" w:rsidRDefault="002E07FD" w:rsidP="002E07FD">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BC5425" w:rsidRPr="00C43003" w:rsidRDefault="002E07FD" w:rsidP="00BB2FCB">
            <w:pPr>
              <w:spacing w:line="300" w:lineRule="atLeast"/>
              <w:rPr>
                <w:rFonts w:ascii="Arial" w:hAnsi="Arial" w:cs="Arial"/>
                <w:sz w:val="22"/>
                <w:szCs w:val="22"/>
                <w:lang w:eastAsia="en-US"/>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w:t>
            </w:r>
            <w:r w:rsidRPr="00C43003">
              <w:rPr>
                <w:rFonts w:ascii="Arial" w:hAnsi="Arial" w:cs="Arial"/>
                <w:spacing w:val="-1"/>
                <w:sz w:val="22"/>
                <w:szCs w:val="22"/>
              </w:rPr>
              <w:lastRenderedPageBreak/>
              <w:t>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BB2FCB" w:rsidP="00BB2FCB">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4</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 xml:space="preserve">выполнить для успешного прохождения процедуры аккредитации Вашей компании в базе </w:t>
            </w:r>
            <w:r w:rsidR="00400E2B" w:rsidRPr="00C43003">
              <w:rPr>
                <w:rFonts w:ascii="Arial" w:hAnsi="Arial" w:cs="Arial"/>
                <w:sz w:val="22"/>
                <w:szCs w:val="22"/>
              </w:rPr>
              <w:lastRenderedPageBreak/>
              <w:t>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A8" w:rsidRDefault="000945A8">
      <w:r>
        <w:separator/>
      </w:r>
    </w:p>
  </w:endnote>
  <w:endnote w:type="continuationSeparator" w:id="0">
    <w:p w:rsidR="000945A8" w:rsidRDefault="0009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02BF3" w:rsidRDefault="00102BF3">
        <w:pPr>
          <w:pStyle w:val="af0"/>
          <w:jc w:val="right"/>
        </w:pPr>
        <w:r>
          <w:fldChar w:fldCharType="begin"/>
        </w:r>
        <w:r>
          <w:instrText xml:space="preserve"> PAGE   \* MERGEFORMAT </w:instrText>
        </w:r>
        <w:r>
          <w:fldChar w:fldCharType="separate"/>
        </w:r>
        <w:r w:rsidR="00F97E57">
          <w:rPr>
            <w:noProof/>
          </w:rPr>
          <w:t>3</w:t>
        </w:r>
        <w:r>
          <w:rPr>
            <w:noProof/>
          </w:rPr>
          <w:fldChar w:fldCharType="end"/>
        </w:r>
      </w:p>
    </w:sdtContent>
  </w:sdt>
  <w:p w:rsidR="00102BF3" w:rsidRDefault="00102B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A8" w:rsidRDefault="000945A8">
      <w:r>
        <w:separator/>
      </w:r>
    </w:p>
  </w:footnote>
  <w:footnote w:type="continuationSeparator" w:id="0">
    <w:p w:rsidR="000945A8" w:rsidRDefault="00094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F3" w:rsidRPr="00F01080" w:rsidRDefault="00102BF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5A8"/>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1E8"/>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5527"/>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2C71"/>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23D"/>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E57"/>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5973355">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FD8BA-A554-44EB-ABFD-42C979B8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42</Pages>
  <Words>11751</Words>
  <Characters>66981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78575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47</cp:revision>
  <cp:lastPrinted>2015-12-04T08:31:00Z</cp:lastPrinted>
  <dcterms:created xsi:type="dcterms:W3CDTF">2015-09-04T07:33:00Z</dcterms:created>
  <dcterms:modified xsi:type="dcterms:W3CDTF">2016-09-26T11:59:00Z</dcterms:modified>
</cp:coreProperties>
</file>